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/>
          <w:b/>
          <w:bCs w:val="0"/>
          <w:color w:val="auto"/>
          <w:sz w:val="48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 w:val="0"/>
          <w:color w:val="auto"/>
          <w:sz w:val="32"/>
          <w:szCs w:val="21"/>
        </w:rPr>
      </w:pPr>
      <w:bookmarkStart w:id="0" w:name="OLE_LINK1"/>
      <w:r>
        <w:rPr>
          <w:rFonts w:ascii="仿宋" w:hAnsi="仿宋" w:eastAsia="仿宋"/>
          <w:b/>
          <w:bCs w:val="0"/>
          <w:color w:val="auto"/>
          <w:sz w:val="32"/>
          <w:szCs w:val="21"/>
        </w:rPr>
        <w:t>岳阳市中心医院</w:t>
      </w:r>
    </w:p>
    <w:p>
      <w:pPr>
        <w:adjustRightInd w:val="0"/>
        <w:snapToGrid w:val="0"/>
        <w:spacing w:line="360" w:lineRule="auto"/>
        <w:jc w:val="center"/>
        <w:rPr>
          <w:rFonts w:hint="default" w:ascii="仿宋" w:hAnsi="仿宋" w:eastAsia="仿宋"/>
          <w:b/>
          <w:bCs w:val="0"/>
          <w:color w:val="auto"/>
          <w:sz w:val="32"/>
          <w:szCs w:val="21"/>
          <w:lang w:val="en-US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21"/>
        </w:rPr>
        <w:t>肿瘤科大数据科研平台项目建设方案编制服务项目需求</w:t>
      </w:r>
    </w:p>
    <w:bookmarkEnd w:id="0"/>
    <w:p>
      <w:pPr>
        <w:ind w:firstLine="2691" w:firstLineChars="897"/>
        <w:rPr>
          <w:rFonts w:ascii="仿宋" w:hAnsi="仿宋" w:eastAsia="仿宋"/>
          <w:b w:val="0"/>
          <w:bCs/>
          <w:color w:val="auto"/>
          <w:sz w:val="30"/>
        </w:rPr>
      </w:pPr>
    </w:p>
    <w:p>
      <w:pPr>
        <w:spacing w:line="360" w:lineRule="auto"/>
        <w:rPr>
          <w:rFonts w:ascii="仿宋" w:hAnsi="仿宋" w:eastAsia="仿宋"/>
          <w:b/>
          <w:bCs w:val="0"/>
          <w:color w:val="auto"/>
          <w:sz w:val="28"/>
        </w:rPr>
      </w:pPr>
      <w:r>
        <w:rPr>
          <w:rFonts w:ascii="仿宋" w:hAnsi="仿宋" w:eastAsia="仿宋"/>
          <w:b/>
          <w:bCs w:val="0"/>
          <w:color w:val="auto"/>
          <w:sz w:val="28"/>
        </w:rPr>
        <w:t>一、项目背景简介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b w:val="0"/>
          <w:bCs/>
          <w:color w:val="auto"/>
          <w:sz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医院计划启动肿瘤科大数据科研平台项目，根据数据局及其他相关部门的要求，需要编制建设方案，完成相关部门的评审工作。</w:t>
      </w:r>
    </w:p>
    <w:p>
      <w:pPr>
        <w:rPr>
          <w:rFonts w:ascii="仿宋" w:hAnsi="仿宋" w:eastAsia="仿宋"/>
          <w:b/>
          <w:bCs w:val="0"/>
          <w:color w:val="auto"/>
          <w:sz w:val="28"/>
        </w:rPr>
      </w:pPr>
      <w:r>
        <w:rPr>
          <w:rFonts w:ascii="仿宋" w:hAnsi="仿宋" w:eastAsia="仿宋"/>
          <w:b/>
          <w:bCs w:val="0"/>
          <w:color w:val="auto"/>
          <w:sz w:val="28"/>
        </w:rPr>
        <w:t>二、项目清单【名称、</w:t>
      </w:r>
      <w:r>
        <w:rPr>
          <w:rFonts w:hint="eastAsia" w:ascii="仿宋" w:hAnsi="仿宋" w:eastAsia="仿宋"/>
          <w:b/>
          <w:bCs w:val="0"/>
          <w:color w:val="auto"/>
          <w:sz w:val="28"/>
          <w:lang w:val="en-US" w:eastAsia="zh-CN"/>
        </w:rPr>
        <w:t>服务内容</w:t>
      </w:r>
      <w:r>
        <w:rPr>
          <w:rFonts w:ascii="仿宋" w:hAnsi="仿宋" w:eastAsia="仿宋"/>
          <w:b/>
          <w:bCs w:val="0"/>
          <w:color w:val="auto"/>
          <w:sz w:val="28"/>
        </w:rPr>
        <w:t>】</w:t>
      </w:r>
    </w:p>
    <w:tbl>
      <w:tblPr>
        <w:tblStyle w:val="7"/>
        <w:tblW w:w="81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3537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服务内容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上限价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肿瘤科大数据科研平台项目 （预算 150万）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建设方案设计、编制及评审服务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4万元 </w:t>
            </w:r>
          </w:p>
        </w:tc>
      </w:tr>
    </w:tbl>
    <w:p>
      <w:pPr>
        <w:rPr>
          <w:rFonts w:ascii="仿宋" w:hAnsi="仿宋" w:eastAsia="仿宋"/>
          <w:b/>
          <w:bCs w:val="0"/>
          <w:color w:val="auto"/>
          <w:sz w:val="28"/>
        </w:rPr>
      </w:pPr>
    </w:p>
    <w:p>
      <w:pPr>
        <w:rPr>
          <w:rFonts w:ascii="仿宋" w:hAnsi="仿宋" w:eastAsia="仿宋"/>
          <w:b/>
          <w:bCs w:val="0"/>
          <w:color w:val="auto"/>
          <w:sz w:val="28"/>
        </w:rPr>
      </w:pPr>
      <w:r>
        <w:rPr>
          <w:rFonts w:ascii="仿宋" w:hAnsi="仿宋" w:eastAsia="仿宋"/>
          <w:b/>
          <w:bCs w:val="0"/>
          <w:color w:val="auto"/>
          <w:sz w:val="28"/>
        </w:rPr>
        <w:t>三、</w:t>
      </w:r>
      <w:r>
        <w:rPr>
          <w:rFonts w:hint="eastAsia" w:ascii="仿宋" w:hAnsi="仿宋" w:eastAsia="仿宋"/>
          <w:b/>
          <w:bCs w:val="0"/>
          <w:color w:val="auto"/>
          <w:sz w:val="28"/>
          <w:lang w:val="en-US" w:eastAsia="zh-CN"/>
        </w:rPr>
        <w:t>详细需求</w:t>
      </w:r>
    </w:p>
    <w:p>
      <w:pPr>
        <w:ind w:firstLine="560" w:firstLineChars="200"/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default" w:ascii="仿宋" w:hAnsi="仿宋" w:eastAsia="仿宋"/>
          <w:b w:val="0"/>
          <w:bCs/>
          <w:color w:val="auto"/>
          <w:sz w:val="28"/>
        </w:rPr>
        <w:t>本次服务的主要工作内容，包括以下内容：</w:t>
      </w:r>
    </w:p>
    <w:p>
      <w:pPr>
        <w:ind w:firstLine="560" w:firstLineChars="200"/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①完成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项目建设方案编制工作。</w:t>
      </w:r>
    </w:p>
    <w:p>
      <w:pPr>
        <w:ind w:firstLine="560" w:firstLineChars="200"/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②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参加采购人组织的方案讨论会、工作推进会、内部审查会议。</w:t>
      </w:r>
    </w:p>
    <w:p>
      <w:pPr>
        <w:ind w:firstLine="560" w:firstLineChars="200"/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③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项目建设方案需通过岳阳市数据局</w:t>
      </w:r>
      <w:r>
        <w:rPr>
          <w:rFonts w:hint="eastAsia" w:ascii="仿宋" w:hAnsi="仿宋" w:eastAsia="仿宋"/>
          <w:b w:val="0"/>
          <w:bCs/>
          <w:color w:val="auto"/>
          <w:sz w:val="28"/>
          <w:lang w:eastAsia="zh-CN"/>
        </w:rPr>
        <w:t>、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岳阳市网信办及其他相关部门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的技术评审和批复</w:t>
      </w:r>
      <w:r>
        <w:rPr>
          <w:rFonts w:hint="eastAsia" w:ascii="仿宋" w:hAnsi="仿宋" w:eastAsia="仿宋"/>
          <w:b w:val="0"/>
          <w:bCs/>
          <w:color w:val="auto"/>
          <w:sz w:val="28"/>
          <w:lang w:eastAsia="zh-CN"/>
        </w:rPr>
        <w:t>，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满足数据局、网信办及其他相关部门标准规范要求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。</w:t>
      </w:r>
    </w:p>
    <w:p>
      <w:pPr>
        <w:ind w:firstLine="560" w:firstLineChars="200"/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④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参加市数据局</w:t>
      </w:r>
      <w:r>
        <w:rPr>
          <w:rFonts w:hint="eastAsia" w:ascii="仿宋" w:hAnsi="仿宋" w:eastAsia="仿宋"/>
          <w:b w:val="0"/>
          <w:bCs/>
          <w:color w:val="auto"/>
          <w:sz w:val="28"/>
          <w:lang w:eastAsia="zh-CN"/>
        </w:rPr>
        <w:t>、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市网信办及其他相关部门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组织的各阶段评审会议，必要时需提供两个及两个以上的建设供评审专家进行评定。</w:t>
      </w:r>
    </w:p>
    <w:p>
      <w:pPr>
        <w:ind w:firstLine="560" w:firstLineChars="200"/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⑥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根据各阶段审批结论对项目建设方案进行修改，直至通过审查。</w:t>
      </w:r>
    </w:p>
    <w:p>
      <w:pPr>
        <w:ind w:firstLine="560" w:firstLineChars="200"/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⑦项目在市数据局、市网信办等部门审批过程中涉及的其他相关部门资料准备。</w:t>
      </w:r>
    </w:p>
    <w:p>
      <w:pPr>
        <w:ind w:firstLine="560" w:firstLineChars="200"/>
        <w:rPr>
          <w:rFonts w:hint="default" w:ascii="仿宋" w:hAnsi="仿宋" w:eastAsia="仿宋"/>
          <w:b w:val="0"/>
          <w:bCs/>
          <w:color w:val="auto"/>
          <w:sz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⑧除上述事宜外，供应商需提供项目全流程、全方位的流程支撑服务，高效提供技术支持、流程跟进、沟通协调等配套服务。</w:t>
      </w:r>
    </w:p>
    <w:p>
      <w:pPr>
        <w:ind w:firstLine="560" w:firstLineChars="200"/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default" w:ascii="仿宋" w:hAnsi="仿宋" w:eastAsia="仿宋"/>
          <w:b w:val="0"/>
          <w:bCs/>
          <w:color w:val="auto"/>
          <w:sz w:val="28"/>
        </w:rPr>
        <w:t>详细内容如下：</w:t>
      </w:r>
    </w:p>
    <w:p>
      <w:pPr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default" w:ascii="仿宋" w:hAnsi="仿宋" w:eastAsia="仿宋"/>
          <w:b w:val="0"/>
          <w:bCs/>
          <w:color w:val="auto"/>
          <w:sz w:val="28"/>
        </w:rPr>
        <w:t>（一）现状调研与分析</w:t>
      </w:r>
    </w:p>
    <w:p>
      <w:pPr>
        <w:ind w:firstLine="560" w:firstLineChars="200"/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default" w:ascii="仿宋" w:hAnsi="仿宋" w:eastAsia="仿宋"/>
          <w:b w:val="0"/>
          <w:bCs/>
          <w:color w:val="auto"/>
          <w:sz w:val="28"/>
        </w:rPr>
        <w:t>1. 对现有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系统建设情况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进行全面深入的勘查与评估。</w:t>
      </w:r>
    </w:p>
    <w:p>
      <w:pPr>
        <w:ind w:firstLine="560" w:firstLineChars="200"/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default" w:ascii="仿宋" w:hAnsi="仿宋" w:eastAsia="仿宋"/>
          <w:b w:val="0"/>
          <w:bCs/>
          <w:color w:val="auto"/>
          <w:sz w:val="28"/>
        </w:rPr>
        <w:t>2. 梳理现有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信息化系统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在业务支撑等方面存在的问题与瓶颈，并形成详细的现状调研报告。</w:t>
      </w:r>
    </w:p>
    <w:p>
      <w:pPr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default" w:ascii="仿宋" w:hAnsi="仿宋" w:eastAsia="仿宋"/>
          <w:b w:val="0"/>
          <w:bCs/>
          <w:color w:val="auto"/>
          <w:sz w:val="28"/>
        </w:rPr>
        <w:t>（二）需求收集与整理</w:t>
      </w:r>
    </w:p>
    <w:p>
      <w:pPr>
        <w:ind w:firstLine="560" w:firstLineChars="200"/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default" w:ascii="仿宋" w:hAnsi="仿宋" w:eastAsia="仿宋"/>
          <w:b w:val="0"/>
          <w:bCs/>
          <w:color w:val="auto"/>
          <w:sz w:val="28"/>
        </w:rPr>
        <w:t>1. 与各业务部门充分沟通协作，收集其对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系统功能、性能、安全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等方面的具体需求和未来发展规划预期。</w:t>
      </w:r>
    </w:p>
    <w:p>
      <w:pPr>
        <w:ind w:firstLine="560" w:firstLineChars="200"/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default" w:ascii="仿宋" w:hAnsi="仿宋" w:eastAsia="仿宋"/>
          <w:b w:val="0"/>
          <w:bCs/>
          <w:color w:val="auto"/>
          <w:sz w:val="28"/>
        </w:rPr>
        <w:t>2. 整理汇总各部门需求，结合行业最佳实践和技术发展趋势，明确肿瘤科大数据科研平台项目的整体建设目标与功能要求。</w:t>
      </w:r>
    </w:p>
    <w:p>
      <w:pPr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default" w:ascii="仿宋" w:hAnsi="仿宋" w:eastAsia="仿宋"/>
          <w:b w:val="0"/>
          <w:bCs/>
          <w:color w:val="auto"/>
          <w:sz w:val="28"/>
        </w:rPr>
        <w:t>（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三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）建设方案编制</w:t>
      </w:r>
    </w:p>
    <w:p>
      <w:pPr>
        <w:ind w:firstLine="560" w:firstLineChars="200"/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default" w:ascii="仿宋" w:hAnsi="仿宋" w:eastAsia="仿宋"/>
          <w:b w:val="0"/>
          <w:bCs/>
          <w:color w:val="auto"/>
          <w:sz w:val="28"/>
        </w:rPr>
        <w:t> 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 xml:space="preserve"> 按照相关标准要求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编制详细的建设方案文档，包括项目概述、设计原则与目标、网络架构设计、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系统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架构设计、信息安全体系设计、项目实施计划、项目预算等章节，并提供设计图纸（如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系统架构图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、服务器架构图、存储架构图等）辅助说明，确保设计方案的完整性和可操作性，并通过市数据局</w:t>
      </w:r>
      <w:r>
        <w:rPr>
          <w:rFonts w:hint="eastAsia" w:ascii="仿宋" w:hAnsi="仿宋" w:eastAsia="仿宋"/>
          <w:b w:val="0"/>
          <w:bCs/>
          <w:color w:val="auto"/>
          <w:sz w:val="28"/>
          <w:lang w:eastAsia="zh-CN"/>
        </w:rPr>
        <w:t>、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市网信办及其他相关部门的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技术方案评审，在规定的时间内获得批复。</w:t>
      </w:r>
    </w:p>
    <w:p>
      <w:pPr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default" w:ascii="仿宋" w:hAnsi="仿宋" w:eastAsia="仿宋"/>
          <w:b w:val="0"/>
          <w:bCs/>
          <w:color w:val="auto"/>
          <w:sz w:val="28"/>
        </w:rPr>
        <w:t>（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四</w:t>
      </w:r>
      <w:r>
        <w:rPr>
          <w:rFonts w:hint="default" w:ascii="仿宋" w:hAnsi="仿宋" w:eastAsia="仿宋"/>
          <w:b w:val="0"/>
          <w:bCs/>
          <w:color w:val="auto"/>
          <w:sz w:val="28"/>
        </w:rPr>
        <w:t>）项目实施过程支持</w:t>
      </w:r>
    </w:p>
    <w:p>
      <w:pPr>
        <w:ind w:firstLine="560" w:firstLineChars="200"/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default" w:ascii="仿宋" w:hAnsi="仿宋" w:eastAsia="仿宋"/>
          <w:b w:val="0"/>
          <w:bCs/>
          <w:color w:val="auto"/>
          <w:sz w:val="28"/>
        </w:rPr>
        <w:t>1. 在项目招标采购阶段，协助采购方制定详细的招标技术文件，包括设备技术规格要求、服务标准等，确保采购的设备设施符合设计要求。</w:t>
      </w:r>
    </w:p>
    <w:p>
      <w:pPr>
        <w:ind w:firstLine="560" w:firstLineChars="200"/>
        <w:rPr>
          <w:rFonts w:hint="default" w:ascii="仿宋" w:hAnsi="仿宋" w:eastAsia="仿宋"/>
          <w:b w:val="0"/>
          <w:bCs/>
          <w:color w:val="auto"/>
          <w:sz w:val="28"/>
        </w:rPr>
      </w:pPr>
      <w:r>
        <w:rPr>
          <w:rFonts w:hint="default" w:ascii="仿宋" w:hAnsi="仿宋" w:eastAsia="仿宋"/>
          <w:b w:val="0"/>
          <w:bCs/>
          <w:color w:val="auto"/>
          <w:sz w:val="28"/>
        </w:rPr>
        <w:t xml:space="preserve">2. 在项目实施过程中，提供技术咨询服务，对项目实施过程中出现的技术问题进行分析与解答，协助实施方制定解决方案，确保项目按照设计方案顺利推进。   </w:t>
      </w:r>
    </w:p>
    <w:p>
      <w:pPr>
        <w:rPr>
          <w:rFonts w:hint="default" w:ascii="仿宋" w:hAnsi="仿宋" w:eastAsia="仿宋"/>
          <w:b/>
          <w:bCs w:val="0"/>
          <w:color w:val="auto"/>
          <w:sz w:val="28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auto"/>
          <w:sz w:val="28"/>
          <w:lang w:val="en-US" w:eastAsia="zh-CN"/>
        </w:rPr>
        <w:t>四</w:t>
      </w:r>
      <w:r>
        <w:rPr>
          <w:rFonts w:ascii="仿宋" w:hAnsi="仿宋" w:eastAsia="仿宋"/>
          <w:b/>
          <w:bCs w:val="0"/>
          <w:color w:val="auto"/>
          <w:sz w:val="28"/>
        </w:rPr>
        <w:t>、</w:t>
      </w:r>
      <w:r>
        <w:rPr>
          <w:rFonts w:hint="eastAsia" w:ascii="仿宋" w:hAnsi="仿宋" w:eastAsia="仿宋"/>
          <w:b/>
          <w:bCs w:val="0"/>
          <w:color w:val="auto"/>
          <w:sz w:val="28"/>
          <w:lang w:val="en-US" w:eastAsia="zh-CN"/>
        </w:rPr>
        <w:t>供应商基本要求</w:t>
      </w:r>
    </w:p>
    <w:p>
      <w:pPr>
        <w:ind w:firstLine="560" w:firstLineChars="200"/>
        <w:rPr>
          <w:rFonts w:hint="default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</w:pPr>
      <w:r>
        <w:rPr>
          <w:rFonts w:hint="default" w:ascii="仿宋" w:hAnsi="仿宋" w:eastAsia="仿宋" w:cs="Times New Roman"/>
          <w:b w:val="0"/>
          <w:bCs/>
          <w:color w:val="auto"/>
          <w:sz w:val="28"/>
        </w:rPr>
        <w:t>1.</w:t>
      </w:r>
      <w:r>
        <w:rPr>
          <w:rFonts w:hint="default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  <w:t>《中华人民共和国政府采购法》第二十二条规定，供应商参加政府采购活动应当具备下列条件：</w:t>
      </w:r>
    </w:p>
    <w:p>
      <w:pPr>
        <w:keepNext w:val="0"/>
        <w:keepLines w:val="0"/>
        <w:widowControl/>
        <w:suppressLineNumbers w:val="0"/>
        <w:shd w:val="clear" w:fill="auto"/>
        <w:spacing w:before="0" w:beforeAutospacing="0"/>
        <w:ind w:left="0" w:firstLine="560" w:firstLineChars="200"/>
        <w:jc w:val="left"/>
        <w:rPr>
          <w:rFonts w:hint="default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</w:pPr>
      <w:r>
        <w:rPr>
          <w:rFonts w:hint="default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  <w:t>（1）具有独立承担民事责任的能力；</w:t>
      </w:r>
    </w:p>
    <w:p>
      <w:pPr>
        <w:keepNext w:val="0"/>
        <w:keepLines w:val="0"/>
        <w:widowControl/>
        <w:suppressLineNumbers w:val="0"/>
        <w:shd w:val="clear" w:fill="auto"/>
        <w:spacing w:before="0" w:beforeAutospacing="0"/>
        <w:ind w:left="0" w:firstLine="560" w:firstLineChars="200"/>
        <w:jc w:val="left"/>
        <w:rPr>
          <w:rFonts w:hint="default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</w:pPr>
      <w:r>
        <w:rPr>
          <w:rFonts w:hint="default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  <w:t>（2）具有良好的商业信誉和健全的财务会计制度；</w:t>
      </w:r>
    </w:p>
    <w:p>
      <w:pPr>
        <w:keepNext w:val="0"/>
        <w:keepLines w:val="0"/>
        <w:widowControl/>
        <w:suppressLineNumbers w:val="0"/>
        <w:shd w:val="clear" w:fill="auto"/>
        <w:spacing w:before="0" w:beforeAutospacing="0"/>
        <w:ind w:left="0" w:firstLine="560" w:firstLineChars="200"/>
        <w:jc w:val="left"/>
        <w:rPr>
          <w:rFonts w:hint="default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</w:pPr>
      <w:r>
        <w:rPr>
          <w:rFonts w:hint="default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  <w:t>（3）具有履行合同所必需的设备和专业技术能力；</w:t>
      </w:r>
    </w:p>
    <w:p>
      <w:pPr>
        <w:keepNext w:val="0"/>
        <w:keepLines w:val="0"/>
        <w:widowControl/>
        <w:suppressLineNumbers w:val="0"/>
        <w:shd w:val="clear" w:fill="auto"/>
        <w:spacing w:before="0" w:beforeAutospacing="0"/>
        <w:ind w:left="0" w:firstLine="560" w:firstLineChars="200"/>
        <w:jc w:val="left"/>
        <w:rPr>
          <w:rFonts w:hint="default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</w:pPr>
      <w:r>
        <w:rPr>
          <w:rFonts w:hint="default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  <w:t>（4）有依法缴纳税收和社会保障资金的良好记录；</w:t>
      </w:r>
    </w:p>
    <w:p>
      <w:pPr>
        <w:keepNext w:val="0"/>
        <w:keepLines w:val="0"/>
        <w:widowControl/>
        <w:suppressLineNumbers w:val="0"/>
        <w:shd w:val="clear" w:fill="auto"/>
        <w:spacing w:before="0" w:beforeAutospacing="0"/>
        <w:ind w:left="0" w:firstLine="560" w:firstLineChars="200"/>
        <w:jc w:val="left"/>
        <w:rPr>
          <w:rFonts w:hint="default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</w:pPr>
      <w:r>
        <w:rPr>
          <w:rFonts w:hint="default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  <w:t>（5）参加政府采购活动前三年内，在经营活动中没有重大违法记录；</w:t>
      </w:r>
    </w:p>
    <w:p>
      <w:pPr>
        <w:keepNext w:val="0"/>
        <w:keepLines w:val="0"/>
        <w:widowControl/>
        <w:suppressLineNumbers w:val="0"/>
        <w:shd w:val="clear" w:fill="auto"/>
        <w:spacing w:before="0" w:beforeAutospacing="0"/>
        <w:ind w:left="0" w:firstLine="560" w:firstLineChars="200"/>
        <w:jc w:val="left"/>
        <w:rPr>
          <w:rFonts w:hint="default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</w:pPr>
      <w:r>
        <w:rPr>
          <w:rFonts w:hint="default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  <w:t>（6）法律、行政法规规定的其他条件。</w:t>
      </w:r>
    </w:p>
    <w:p>
      <w:pPr>
        <w:ind w:firstLine="560" w:firstLineChars="200"/>
        <w:rPr>
          <w:rFonts w:hint="default" w:ascii="仿宋" w:hAnsi="仿宋" w:eastAsia="仿宋" w:cs="Times New Roman"/>
          <w:b w:val="0"/>
          <w:bCs/>
          <w:color w:val="auto"/>
          <w:sz w:val="28"/>
        </w:rPr>
      </w:pPr>
      <w:r>
        <w:rPr>
          <w:rFonts w:hint="eastAsia" w:ascii="仿宋" w:hAnsi="仿宋" w:eastAsia="仿宋" w:cs="Times New Roman"/>
          <w:b w:val="0"/>
          <w:bCs/>
          <w:color w:val="auto"/>
          <w:sz w:val="28"/>
        </w:rPr>
        <w:t>2.</w:t>
      </w:r>
      <w:r>
        <w:rPr>
          <w:rFonts w:hint="eastAsia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  <w:t>特定资格条件</w:t>
      </w:r>
      <w:r>
        <w:rPr>
          <w:rFonts w:hint="eastAsia" w:ascii="仿宋" w:hAnsi="仿宋" w:eastAsia="仿宋" w:cs="Times New Roman"/>
          <w:b w:val="0"/>
          <w:bCs/>
          <w:color w:val="auto"/>
          <w:sz w:val="28"/>
          <w:lang w:val="en-US" w:eastAsia="zh-CN"/>
        </w:rPr>
        <w:t>要求</w:t>
      </w:r>
      <w:r>
        <w:rPr>
          <w:rFonts w:hint="eastAsia" w:ascii="仿宋" w:hAnsi="仿宋" w:eastAsia="仿宋" w:cs="Times New Roman"/>
          <w:b w:val="0"/>
          <w:bCs/>
          <w:color w:val="auto"/>
          <w:sz w:val="28"/>
        </w:rPr>
        <w:t>：</w:t>
      </w:r>
    </w:p>
    <w:p>
      <w:pPr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sz w:val="28"/>
        </w:rPr>
      </w:pPr>
      <w:r>
        <w:rPr>
          <w:rFonts w:hint="eastAsia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  <w:t>供应商需要具备工程咨询预乙级及以上资信（广电、电子、信息化专业）或在中国咨询协会完成对应专业咨询单位备案（提供咨询资信复印件或网站备案网页并加盖公章）</w:t>
      </w:r>
    </w:p>
    <w:p>
      <w:pPr>
        <w:keepNext w:val="0"/>
        <w:keepLines w:val="0"/>
        <w:widowControl/>
        <w:suppressLineNumbers w:val="0"/>
        <w:shd w:val="clear" w:fill="auto"/>
        <w:spacing w:before="0" w:beforeAutospacing="0"/>
        <w:ind w:left="0" w:firstLine="560" w:firstLineChars="200"/>
        <w:jc w:val="left"/>
        <w:rPr>
          <w:rFonts w:hint="eastAsia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</w:pPr>
      <w:r>
        <w:rPr>
          <w:rFonts w:hint="eastAsia" w:ascii="仿宋" w:hAnsi="仿宋" w:eastAsia="仿宋" w:cs="Times New Roman"/>
          <w:b w:val="0"/>
          <w:bCs/>
          <w:color w:val="auto"/>
          <w:sz w:val="28"/>
          <w:lang w:eastAsia="zh-CN" w:bidi="ar"/>
        </w:rPr>
        <w:t>3</w:t>
      </w:r>
      <w:r>
        <w:rPr>
          <w:rFonts w:hint="eastAsia" w:ascii="仿宋" w:hAnsi="仿宋" w:eastAsia="仿宋" w:cs="Times New Roman"/>
          <w:b w:val="0"/>
          <w:bCs/>
          <w:color w:val="auto"/>
          <w:sz w:val="28"/>
          <w:lang w:bidi="ar"/>
        </w:rPr>
        <w:t>.</w:t>
      </w:r>
      <w:r>
        <w:rPr>
          <w:rFonts w:hint="eastAsia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  <w:t>单位负责人为同一人或者存在直接控股、管理关系的不同投标人，不得参加同一合同项下的政府采购活动。</w:t>
      </w:r>
    </w:p>
    <w:p>
      <w:pPr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sz w:val="28"/>
          <w:lang w:bidi="ar"/>
        </w:rPr>
      </w:pPr>
      <w:r>
        <w:rPr>
          <w:rFonts w:hint="eastAsia" w:ascii="仿宋" w:hAnsi="仿宋" w:eastAsia="仿宋" w:cs="Times New Roman"/>
          <w:b w:val="0"/>
          <w:bCs/>
          <w:color w:val="auto"/>
          <w:sz w:val="28"/>
          <w:lang w:val="en-US" w:eastAsia="zh-CN" w:bidi="ar"/>
        </w:rPr>
        <w:t>4.</w:t>
      </w:r>
      <w:r>
        <w:rPr>
          <w:rFonts w:hint="eastAsia" w:ascii="仿宋" w:hAnsi="仿宋" w:eastAsia="仿宋" w:cs="Times New Roman"/>
          <w:bCs/>
          <w:i w:val="0"/>
          <w:iCs w:val="0"/>
          <w:caps w:val="0"/>
          <w:color w:val="auto"/>
          <w:spacing w:val="0"/>
          <w:kern w:val="0"/>
          <w:sz w:val="28"/>
          <w:szCs w:val="20"/>
          <w:shd w:val="clear" w:fill="auto"/>
          <w:lang w:val="en-US" w:eastAsia="zh-CN" w:bidi="ar"/>
        </w:rPr>
        <w:t>列入失信被执行人、重大税收违法失信主体名单、政府采购严重违法失信行为记录名单的，拒绝其参与政府采购活动。</w:t>
      </w:r>
      <w:r>
        <w:rPr>
          <w:rFonts w:hint="eastAsia" w:ascii="仿宋" w:hAnsi="仿宋" w:eastAsia="仿宋" w:cs="Times New Roman"/>
          <w:b w:val="0"/>
          <w:bCs/>
          <w:color w:val="auto"/>
          <w:sz w:val="28"/>
          <w:lang w:bidi="ar"/>
        </w:rPr>
        <w:t>在经营活动中无重大违法记录，未被列入严重失信行为名单。</w:t>
      </w:r>
    </w:p>
    <w:p>
      <w:pPr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sz w:val="28"/>
          <w:lang w:bidi="ar"/>
        </w:rPr>
      </w:pPr>
      <w:r>
        <w:rPr>
          <w:rFonts w:hint="eastAsia" w:ascii="仿宋" w:hAnsi="仿宋" w:eastAsia="仿宋" w:cs="Times New Roman"/>
          <w:b w:val="0"/>
          <w:bCs/>
          <w:color w:val="auto"/>
          <w:sz w:val="28"/>
          <w:lang w:bidi="ar"/>
        </w:rPr>
        <w:t>5.本次采购不接受联合体；</w:t>
      </w:r>
    </w:p>
    <w:p>
      <w:pPr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sz w:val="28"/>
          <w:lang w:bidi="ar"/>
        </w:rPr>
      </w:pPr>
      <w:r>
        <w:rPr>
          <w:rFonts w:hint="eastAsia" w:ascii="仿宋" w:hAnsi="仿宋" w:eastAsia="仿宋" w:cs="Times New Roman"/>
          <w:b w:val="0"/>
          <w:bCs/>
          <w:color w:val="auto"/>
          <w:sz w:val="28"/>
          <w:lang w:val="en-US" w:eastAsia="zh-CN" w:bidi="ar"/>
        </w:rPr>
        <w:t>6.</w:t>
      </w:r>
      <w:r>
        <w:rPr>
          <w:rFonts w:hint="eastAsia" w:ascii="仿宋" w:hAnsi="仿宋" w:eastAsia="仿宋" w:cs="Times New Roman"/>
          <w:b w:val="0"/>
          <w:bCs/>
          <w:color w:val="auto"/>
          <w:sz w:val="28"/>
          <w:lang w:bidi="ar"/>
        </w:rPr>
        <w:t>为落实设计主体责任，本次采购不面向非独立法人的分支机构或分公司进行。</w:t>
      </w:r>
    </w:p>
    <w:p>
      <w:pPr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sz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sz w:val="28"/>
          <w:lang w:val="en-US" w:eastAsia="zh-CN"/>
        </w:rPr>
        <w:t>7.供应商需就现场响应服务作出专项承诺：自接到采购人发出的现场服务通知（包括但不限于电话、书面通知等有效形式）后1 小时内抵达采购人指定现场，全力配合开展现场对接、问题处置、技术支持等相关工作，确保及时响应采购人需求。</w:t>
      </w:r>
    </w:p>
    <w:p>
      <w:pPr>
        <w:spacing w:afterLines="-2147483648" w:afterAutospacing="0"/>
        <w:ind w:left="0" w:leftChars="0" w:firstLine="560" w:firstLineChars="200"/>
        <w:rPr>
          <w:rFonts w:hint="eastAsia" w:ascii="仿宋" w:hAnsi="仿宋" w:eastAsia="仿宋" w:cs="Times New Roman"/>
          <w:bCs/>
          <w:color w:val="auto"/>
          <w:kern w:val="0"/>
          <w:sz w:val="28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color w:val="auto"/>
          <w:sz w:val="28"/>
          <w:lang w:val="en-US" w:eastAsia="zh-CN"/>
        </w:rPr>
        <w:t>8.</w:t>
      </w:r>
      <w:r>
        <w:rPr>
          <w:rFonts w:hint="eastAsia" w:ascii="仿宋" w:hAnsi="仿宋" w:eastAsia="仿宋" w:cs="Times New Roman"/>
          <w:bCs/>
          <w:color w:val="auto"/>
          <w:kern w:val="0"/>
          <w:sz w:val="28"/>
          <w:szCs w:val="20"/>
          <w:lang w:val="en-US" w:eastAsia="zh-CN" w:bidi="ar-SA"/>
        </w:rPr>
        <w:t>供应商需在签订合同之日起7日内完成技术方案设计，并通过项目主管部门评审，取得方案评审批复。未在规定时间内完成的，每推迟1天采购人将在结算金额内扣除2000元，以此类推（此项要求供应商需作出承诺）。</w:t>
      </w:r>
      <w:bookmarkStart w:id="1" w:name="_GoBack"/>
      <w:bookmarkEnd w:id="1"/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hint="default"/>
        <w:lang w:val="zh-CN"/>
      </w:rPr>
      <w:t>4</w:t>
    </w:r>
    <w:r>
      <w:fldChar w:fldCharType="end"/>
    </w:r>
  </w:p>
  <w:p>
    <w:pPr>
      <w:pStyle w:val="4"/>
      <w:rPr>
        <w:rFonts w:hint="default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jllNTAxMDQwMDAzYTBjYTJmZmI3ODMzNTgzNTQifQ=="/>
  </w:docVars>
  <w:rsids>
    <w:rsidRoot w:val="00000000"/>
    <w:rsid w:val="010563A6"/>
    <w:rsid w:val="37253F95"/>
    <w:rsid w:val="3A810756"/>
    <w:rsid w:val="42090170"/>
    <w:rsid w:val="5A2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Times New Roman" w:eastAsia="仿宋_GB2312" w:cs="Times New Roman"/>
      <w:color w:val="10000A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 w:hAnsi="仿宋_GB2312"/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2025-11-13T06:47:00Z</dcterms:created>
  <dc:creator>Administrator</dc:creator>
  <cp:lastModifiedBy>尹彭</cp:lastModifiedBy>
  <dcterms:modified xsi:type="dcterms:W3CDTF">2025-11-14T04:39:06Z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68A03EDB3A8A4CA8A44423FEBA34CC55_12</vt:lpwstr>
  </property>
</Properties>
</file>