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line="360" w:lineRule="auto"/>
        <w:ind w:firstLine="643" w:firstLineChars="200"/>
        <w:jc w:val="center"/>
        <w:rPr>
          <w:rFonts w:hint="eastAsia" w:ascii="黑体" w:hAnsi="黑体" w:eastAsia="黑体" w:cs="黑体"/>
          <w:b/>
          <w:bCs/>
          <w:sz w:val="44"/>
          <w:szCs w:val="44"/>
          <w:lang w:eastAsia="zh-CN"/>
        </w:rPr>
      </w:pPr>
      <w:r>
        <w:rPr>
          <w:rFonts w:hint="eastAsia" w:ascii="黑体" w:hAnsi="黑体" w:eastAsia="黑体" w:cs="黑体"/>
          <w:b/>
          <w:bCs/>
          <w:sz w:val="44"/>
          <w:szCs w:val="44"/>
        </w:rPr>
        <w:t>岳阳市中心医院202</w:t>
      </w:r>
      <w:r>
        <w:rPr>
          <w:rFonts w:hint="eastAsia" w:ascii="黑体" w:hAnsi="黑体" w:eastAsia="黑体" w:cs="黑体"/>
          <w:b/>
          <w:bCs/>
          <w:sz w:val="44"/>
          <w:szCs w:val="44"/>
          <w:lang w:val="en-US" w:eastAsia="zh-CN"/>
        </w:rPr>
        <w:t>5</w:t>
      </w:r>
      <w:bookmarkStart w:id="0" w:name="_GoBack"/>
      <w:bookmarkEnd w:id="0"/>
      <w:r>
        <w:rPr>
          <w:rFonts w:hint="eastAsia" w:ascii="黑体" w:hAnsi="黑体" w:eastAsia="黑体" w:cs="黑体"/>
          <w:b/>
          <w:bCs/>
          <w:sz w:val="44"/>
          <w:szCs w:val="44"/>
        </w:rPr>
        <w:t>年度医院职工补充医疗服务项目采购</w:t>
      </w:r>
      <w:r>
        <w:rPr>
          <w:rFonts w:hint="eastAsia" w:ascii="黑体" w:hAnsi="黑体" w:eastAsia="黑体" w:cs="黑体"/>
          <w:b/>
          <w:bCs/>
          <w:sz w:val="44"/>
          <w:szCs w:val="44"/>
          <w:lang w:eastAsia="zh-CN"/>
        </w:rPr>
        <w:t>参数</w:t>
      </w:r>
    </w:p>
    <w:p>
      <w:pPr>
        <w:rPr>
          <w:rFonts w:hint="eastAsia" w:ascii="仿宋" w:hAnsi="仿宋" w:eastAsia="仿宋" w:cs="仿宋"/>
          <w:sz w:val="32"/>
          <w:szCs w:val="32"/>
        </w:rPr>
      </w:pPr>
    </w:p>
    <w:p>
      <w:pPr>
        <w:adjustRightInd w:val="0"/>
        <w:snapToGrid w:val="0"/>
        <w:spacing w:before="120" w:beforeLines="50" w:line="360" w:lineRule="auto"/>
        <w:ind w:firstLine="42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中心医院按年一次性将保费缴纳给承保公司，承保公司按保险条款进行赔付，盈亏风险自担。保险按年度承保，按实名制投保，保险费最终以实际投保人数清算（具体人数以实际投保人数为准）。保险公司赔付是在我院职工住院报销岳阳市城镇职工基本医疗统筹后，再针对起付线部分、统筹段自付部分、乙类先自付部分以及大病统筹段个人自付部分、大病封顶线以上政策内的费用再次进行报销。承保公司应成立专门的服务团队和专职服务人员，负责做好与岳阳市中心医院及其参保人的沟通协调、咨询、理赔、投诉等服务。</w:t>
      </w:r>
    </w:p>
    <w:p>
      <w:pPr>
        <w:adjustRightInd w:val="0"/>
        <w:snapToGrid w:val="0"/>
        <w:spacing w:before="120" w:beforeLines="50" w:line="360" w:lineRule="auto"/>
        <w:ind w:firstLine="420" w:firstLineChars="200"/>
        <w:jc w:val="left"/>
        <w:rPr>
          <w:rFonts w:hint="eastAsia" w:asciiTheme="minorEastAsia" w:hAnsiTheme="minorEastAsia" w:eastAsiaTheme="minorEastAsia"/>
          <w:szCs w:val="21"/>
        </w:rPr>
      </w:pPr>
    </w:p>
    <w:p>
      <w:pPr>
        <w:ind w:firstLine="0" w:firstLineChars="200"/>
        <w:rPr>
          <w:rFonts w:hint="eastAsia" w:ascii="仿宋" w:hAnsi="仿宋" w:eastAsia="仿宋" w:cs="仿宋"/>
          <w:sz w:val="32"/>
          <w:szCs w:val="32"/>
          <w:lang w:val="en-US" w:eastAsia="zh-CN"/>
        </w:rPr>
      </w:pPr>
    </w:p>
    <w:p>
      <w:pPr>
        <w:ind w:firstLine="0" w:firstLineChars="200"/>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岳阳市中心医院医疗保险部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2025年9月19日</w:t>
      </w:r>
    </w:p>
    <w:p>
      <w:pPr>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0386B"/>
    <w:rsid w:val="1550386B"/>
    <w:rsid w:val="38FE1D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2024-11-18T07:00:00Z</dcterms:created>
  <dc:creator>Administrator</dc:creator>
  <cp:lastModifiedBy>谭天卓</cp:lastModifiedBy>
  <dcterms:modified xsi:type="dcterms:W3CDTF">2025-09-19T01:42:00Z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