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5" w:line="222" w:lineRule="auto"/>
        <w:ind w:left="3374"/>
        <w:rPr>
          <w:rFonts w:ascii="黑体" w:hAnsi="黑体" w:eastAsia="黑体" w:cs="黑体"/>
          <w:sz w:val="32"/>
          <w:szCs w:val="32"/>
        </w:rPr>
      </w:pPr>
      <w:r>
        <w:rPr>
          <w:rFonts w:ascii="黑体" w:hAnsi="黑体" w:eastAsia="黑体" w:cs="黑体"/>
          <w:b/>
          <w:bCs/>
          <w:spacing w:val="-7"/>
          <w:sz w:val="32"/>
          <w:szCs w:val="32"/>
        </w:rPr>
        <w:t>医用设备维保参数</w:t>
      </w:r>
    </w:p>
    <w:p>
      <w:pPr>
        <w:pStyle w:val="2"/>
        <w:spacing w:before="125" w:line="220" w:lineRule="auto"/>
        <w:ind w:left="3"/>
        <w:outlineLvl w:val="0"/>
      </w:pPr>
      <w:r>
        <w:rPr>
          <w:b/>
          <w:bCs/>
          <w:spacing w:val="-13"/>
        </w:rPr>
        <w:t>一、项目范围及期限</w:t>
      </w:r>
    </w:p>
    <w:p>
      <w:pPr>
        <w:pStyle w:val="2"/>
        <w:spacing w:before="195" w:line="313" w:lineRule="auto"/>
        <w:ind w:left="640" w:right="730" w:hanging="190"/>
      </w:pPr>
      <w:r>
        <w:rPr>
          <w:spacing w:val="-6"/>
        </w:rPr>
        <w:t>1、需要维保项目：GE revolution CT,GE CT Optima 680</w:t>
      </w:r>
      <w:r>
        <w:rPr>
          <w:spacing w:val="-54"/>
        </w:rPr>
        <w:t xml:space="preserve"> </w:t>
      </w:r>
      <w:r>
        <w:rPr>
          <w:spacing w:val="-6"/>
        </w:rPr>
        <w:t>保修范围：整机全</w:t>
      </w:r>
      <w:r>
        <w:rPr>
          <w:spacing w:val="-7"/>
        </w:rPr>
        <w:t>保保修，</w:t>
      </w:r>
      <w:r>
        <w:t xml:space="preserve"> </w:t>
      </w:r>
      <w:r>
        <w:rPr>
          <w:spacing w:val="-10"/>
        </w:rPr>
        <w:t>包含主机所有人工及备件。</w:t>
      </w:r>
    </w:p>
    <w:p>
      <w:pPr>
        <w:pStyle w:val="2"/>
        <w:spacing w:before="185" w:line="219" w:lineRule="auto"/>
        <w:ind w:left="419"/>
      </w:pPr>
      <w:r>
        <w:rPr>
          <w:spacing w:val="-11"/>
        </w:rPr>
        <w:t>2、保修期限：一年。</w:t>
      </w:r>
    </w:p>
    <w:p>
      <w:pPr>
        <w:pStyle w:val="2"/>
        <w:spacing w:before="177" w:line="355" w:lineRule="auto"/>
        <w:ind w:left="3" w:right="5687"/>
      </w:pPr>
      <w:r>
        <w:rPr>
          <w:b/>
          <w:bCs/>
          <w:spacing w:val="-12"/>
        </w:rPr>
        <w:t>二、项目实施地点：</w:t>
      </w:r>
      <w:r>
        <w:rPr>
          <w:color w:val="000000" w:themeColor="text1"/>
          <w:spacing w:val="-12"/>
          <w:highlight w:val="yellow"/>
          <w14:textFill>
            <w14:solidFill>
              <w14:schemeClr w14:val="tx1"/>
            </w14:solidFill>
          </w14:textFill>
        </w:rPr>
        <w:t>岳阳市中心医院</w:t>
      </w:r>
      <w:r>
        <w:rPr>
          <w:color w:val="000000" w:themeColor="text1"/>
          <w:spacing w:val="10"/>
          <w:highlight w:val="yellow"/>
          <w14:textFill>
            <w14:solidFill>
              <w14:schemeClr w14:val="tx1"/>
            </w14:solidFill>
          </w14:textFill>
        </w:rPr>
        <w:t xml:space="preserve"> </w:t>
      </w:r>
      <w:r>
        <w:rPr>
          <w:b/>
          <w:bCs/>
          <w:spacing w:val="-13"/>
        </w:rPr>
        <w:t>三、技术参数和服务要求</w:t>
      </w:r>
    </w:p>
    <w:p>
      <w:pPr>
        <w:pStyle w:val="2"/>
        <w:spacing w:before="22" w:line="219" w:lineRule="auto"/>
        <w:ind w:left="453"/>
        <w:outlineLvl w:val="6"/>
      </w:pPr>
      <w:r>
        <w:rPr>
          <w:b/>
          <w:bCs/>
          <w:spacing w:val="-14"/>
        </w:rPr>
        <w:t>1、技术要求</w:t>
      </w:r>
    </w:p>
    <w:p>
      <w:pPr>
        <w:pStyle w:val="2"/>
        <w:spacing w:before="171" w:line="219" w:lineRule="auto"/>
        <w:ind w:left="450"/>
      </w:pPr>
      <w:r>
        <w:rPr>
          <w:spacing w:val="-13"/>
        </w:rPr>
        <w:t>1.1、保修设备在保修期内不限次数提供维修服</w:t>
      </w:r>
      <w:r>
        <w:rPr>
          <w:spacing w:val="-14"/>
        </w:rPr>
        <w:t>务；</w:t>
      </w:r>
    </w:p>
    <w:p>
      <w:pPr>
        <w:pStyle w:val="2"/>
        <w:spacing w:before="179" w:line="218" w:lineRule="auto"/>
        <w:ind w:left="450"/>
      </w:pPr>
      <w:r>
        <w:rPr>
          <w:spacing w:val="-13"/>
        </w:rPr>
        <w:t>1.2、每年度进行定期现场校准和保养服务，并提供书面保养报告；</w:t>
      </w:r>
    </w:p>
    <w:p>
      <w:pPr>
        <w:pStyle w:val="2"/>
        <w:spacing w:before="190" w:line="219" w:lineRule="auto"/>
        <w:ind w:left="450"/>
      </w:pPr>
      <w:r>
        <w:rPr>
          <w:spacing w:val="-12"/>
        </w:rPr>
        <w:t>1.3、保修期内免费提供设备的系统软件及硬件的安全性改版升</w:t>
      </w:r>
      <w:r>
        <w:rPr>
          <w:spacing w:val="-13"/>
        </w:rPr>
        <w:t>级和技术支持；</w:t>
      </w:r>
    </w:p>
    <w:p>
      <w:pPr>
        <w:pStyle w:val="2"/>
        <w:spacing w:before="166" w:line="343" w:lineRule="auto"/>
        <w:ind w:right="827" w:firstLine="450"/>
      </w:pPr>
      <w:r>
        <w:rPr>
          <w:spacing w:val="-11"/>
        </w:rPr>
        <w:t>▲1.4、投标人须能合法获得使用在有效期内的原厂故障诊断软件及诊断Service Key,</w:t>
      </w:r>
      <w:r>
        <w:rPr>
          <w:spacing w:val="16"/>
        </w:rPr>
        <w:t xml:space="preserve"> </w:t>
      </w:r>
      <w:r>
        <w:rPr>
          <w:spacing w:val="-13"/>
        </w:rPr>
        <w:t>并保证不违反国家有关知识产权的法律规定，投标人须对此进行承诺。</w:t>
      </w:r>
    </w:p>
    <w:p>
      <w:pPr>
        <w:pStyle w:val="2"/>
        <w:spacing w:before="44" w:line="352" w:lineRule="auto"/>
        <w:ind w:left="2" w:right="883" w:firstLine="450"/>
        <w:jc w:val="both"/>
      </w:pPr>
      <w:r>
        <w:rPr>
          <w:b/>
          <w:bCs/>
          <w:spacing w:val="-10"/>
        </w:rPr>
        <w:t>▲1.5、服务机构须在省内配备相对应产品类</w:t>
      </w:r>
      <w:r>
        <w:rPr>
          <w:b/>
          <w:bCs/>
          <w:spacing w:val="-11"/>
        </w:rPr>
        <w:t>别的服务工程师≥3名，不少于3名服务</w:t>
      </w:r>
      <w:r>
        <w:t xml:space="preserve"> </w:t>
      </w:r>
      <w:r>
        <w:rPr>
          <w:b/>
          <w:bCs/>
          <w:spacing w:val="-13"/>
        </w:rPr>
        <w:t>工程师均获得设备生产商盖章技术培训认证的有效期内技术资质证明，须提供培训证书复</w:t>
      </w:r>
      <w:r>
        <w:t xml:space="preserve"> </w:t>
      </w:r>
      <w:r>
        <w:rPr>
          <w:b/>
          <w:bCs/>
        </w:rPr>
        <w:t>印件。(可在线及拨打厂家400电话查询)</w:t>
      </w:r>
    </w:p>
    <w:p>
      <w:pPr>
        <w:pStyle w:val="2"/>
        <w:spacing w:before="54" w:line="347" w:lineRule="auto"/>
        <w:ind w:right="810" w:firstLine="430"/>
      </w:pPr>
      <w:r>
        <w:rPr>
          <w:spacing w:val="-8"/>
        </w:rPr>
        <w:t>1.6、提供常设400售后服务热线电话。接到故障报修电话后不超过12小时内</w:t>
      </w:r>
      <w:r>
        <w:rPr>
          <w:spacing w:val="-9"/>
        </w:rPr>
        <w:t>响应，并</w:t>
      </w:r>
      <w:r>
        <w:t xml:space="preserve"> </w:t>
      </w:r>
      <w:r>
        <w:rPr>
          <w:spacing w:val="-12"/>
        </w:rPr>
        <w:t>及时提供相关的维修解决方案。</w:t>
      </w:r>
    </w:p>
    <w:p>
      <w:pPr>
        <w:pStyle w:val="2"/>
        <w:spacing w:before="52" w:line="219" w:lineRule="auto"/>
        <w:ind w:left="450"/>
      </w:pPr>
      <w:r>
        <w:rPr>
          <w:spacing w:val="-7"/>
        </w:rPr>
        <w:t>1.7、保证保修期内设备的开机率≥95%;</w:t>
      </w:r>
    </w:p>
    <w:p>
      <w:pPr>
        <w:pStyle w:val="2"/>
        <w:spacing w:before="181" w:line="331" w:lineRule="auto"/>
        <w:ind w:right="829" w:firstLine="450"/>
      </w:pPr>
      <w:r>
        <w:rPr>
          <w:spacing w:val="-17"/>
        </w:rPr>
        <w:t>▲1.8、所更换的备件必须是原厂认证合</w:t>
      </w:r>
      <w:r>
        <w:rPr>
          <w:spacing w:val="-18"/>
        </w:rPr>
        <w:t>格的零配件，满足设备运行要求，不会给设备带</w:t>
      </w:r>
      <w:r>
        <w:t xml:space="preserve"> </w:t>
      </w:r>
      <w:r>
        <w:rPr>
          <w:spacing w:val="-12"/>
        </w:rPr>
        <w:t>来危害且备件来源合法；投标人须对此进行承诺。</w:t>
      </w:r>
    </w:p>
    <w:p>
      <w:pPr>
        <w:pStyle w:val="2"/>
        <w:spacing w:before="80" w:line="348" w:lineRule="auto"/>
        <w:ind w:right="831" w:firstLine="450"/>
      </w:pPr>
      <w:r>
        <w:rPr>
          <w:spacing w:val="-12"/>
        </w:rPr>
        <w:t>1.9、服务机构针对该设备必须提供基于宽带接入的</w:t>
      </w:r>
      <w:r>
        <w:rPr>
          <w:spacing w:val="-13"/>
        </w:rPr>
        <w:t>、内嵌式的具备对设备的运行状况</w:t>
      </w:r>
      <w:r>
        <w:t xml:space="preserve"> </w:t>
      </w:r>
      <w:r>
        <w:rPr>
          <w:spacing w:val="-12"/>
        </w:rPr>
        <w:t>进行实时监测的远程服务系统；投标人须对此进行承诺。</w:t>
      </w:r>
    </w:p>
    <w:p>
      <w:pPr>
        <w:pStyle w:val="2"/>
        <w:spacing w:before="40" w:line="219" w:lineRule="auto"/>
        <w:ind w:left="450"/>
      </w:pPr>
      <w:r>
        <w:rPr>
          <w:spacing w:val="-11"/>
        </w:rPr>
        <w:t>★1.10、投标人在服务期内所提供保修更换的球管需符合国家食品药品监督管理局</w:t>
      </w:r>
    </w:p>
    <w:p>
      <w:pPr>
        <w:pStyle w:val="2"/>
        <w:spacing w:before="178" w:line="360" w:lineRule="auto"/>
        <w:ind w:right="829"/>
      </w:pPr>
      <w:r>
        <w:rPr>
          <w:rFonts w:ascii="Times New Roman" w:hAnsi="Times New Roman" w:eastAsia="Times New Roman" w:cs="Times New Roman"/>
          <w:spacing w:val="-14"/>
        </w:rPr>
        <w:t>NMPA</w:t>
      </w:r>
      <w:r>
        <w:rPr>
          <w:spacing w:val="-14"/>
        </w:rPr>
        <w:t>原机整机注册证要求，必须是设备主机生产厂家同规格同型号的全新球管。要求现有</w:t>
      </w:r>
      <w:r>
        <w:rPr>
          <w:spacing w:val="17"/>
        </w:rPr>
        <w:t xml:space="preserve"> </w:t>
      </w:r>
      <w:r>
        <w:rPr>
          <w:spacing w:val="-8"/>
        </w:rPr>
        <w:t>库存中有上述球管，并且库存球管出厂日期不大于6个月，开标现场须提供</w:t>
      </w:r>
      <w:r>
        <w:rPr>
          <w:spacing w:val="-9"/>
        </w:rPr>
        <w:t>海关清关证明</w:t>
      </w:r>
      <w:r>
        <w:t xml:space="preserve"> </w:t>
      </w:r>
      <w:r>
        <w:rPr>
          <w:spacing w:val="-4"/>
        </w:rPr>
        <w:t>复印件，并提供球管与CT</w:t>
      </w:r>
      <w:r>
        <w:rPr>
          <w:spacing w:val="-53"/>
        </w:rPr>
        <w:t xml:space="preserve"> </w:t>
      </w:r>
      <w:r>
        <w:rPr>
          <w:spacing w:val="-4"/>
        </w:rPr>
        <w:t>整机匹配的NMPA认证报告。</w:t>
      </w:r>
    </w:p>
    <w:p>
      <w:pPr>
        <w:pStyle w:val="2"/>
        <w:spacing w:before="44" w:line="339" w:lineRule="auto"/>
        <w:ind w:right="837" w:firstLine="450"/>
      </w:pPr>
      <w:r>
        <w:rPr>
          <w:spacing w:val="-12"/>
        </w:rPr>
        <w:t>▲1.11、投标人提供能及时获取并实施原厂系统安全性软硬件改版通知(FMI)能力的证</w:t>
      </w:r>
      <w:r>
        <w:rPr>
          <w:spacing w:val="15"/>
        </w:rPr>
        <w:t xml:space="preserve"> </w:t>
      </w:r>
      <w:r>
        <w:rPr>
          <w:spacing w:val="-5"/>
        </w:rPr>
        <w:t>明，保修期内免费提供设备(含独立工作站</w:t>
      </w:r>
      <w:r>
        <w:rPr>
          <w:spacing w:val="-6"/>
        </w:rPr>
        <w:t>)的系统软件升级补丁和技术支持，保证所有</w:t>
      </w:r>
    </w:p>
    <w:p>
      <w:pPr>
        <w:pStyle w:val="2"/>
        <w:spacing w:before="32" w:line="219" w:lineRule="auto"/>
      </w:pPr>
      <w:r>
        <w:rPr>
          <w:spacing w:val="-12"/>
        </w:rPr>
        <w:t>系统软件为最新版本，投标人须对此进行承诺。</w:t>
      </w:r>
    </w:p>
    <w:p>
      <w:pPr>
        <w:spacing w:line="259" w:lineRule="auto"/>
        <w:rPr>
          <w:rFonts w:ascii="Arial"/>
          <w:sz w:val="21"/>
        </w:rPr>
      </w:pPr>
    </w:p>
    <w:p>
      <w:pPr>
        <w:spacing w:before="1" w:line="930" w:lineRule="exact"/>
        <w:ind w:firstLine="4470"/>
      </w:pPr>
    </w:p>
    <w:p>
      <w:pPr>
        <w:spacing w:line="930" w:lineRule="exact"/>
        <w:sectPr>
          <w:pgSz w:w="11840" w:h="16720"/>
          <w:pgMar w:top="1421" w:right="1110" w:bottom="0" w:left="1679" w:header="0" w:footer="0" w:gutter="0"/>
        </w:sectPr>
      </w:pPr>
    </w:p>
    <w:p>
      <w:pPr>
        <w:pStyle w:val="2"/>
        <w:spacing w:before="164" w:line="212" w:lineRule="auto"/>
        <w:ind w:left="503"/>
      </w:pPr>
      <w:r>
        <w:rPr>
          <w:b/>
          <w:bCs/>
          <w:spacing w:val="-7"/>
        </w:rPr>
        <w:t>▲1.12、投标人须提供设备原厂数字化解决方案服务</w:t>
      </w:r>
      <w:r>
        <w:rPr>
          <w:spacing w:val="-57"/>
        </w:rPr>
        <w:t xml:space="preserve"> </w:t>
      </w:r>
      <w:r>
        <w:rPr>
          <w:rFonts w:ascii="Times New Roman" w:hAnsi="Times New Roman" w:eastAsia="Times New Roman" w:cs="Times New Roman"/>
          <w:b/>
          <w:bCs/>
          <w:spacing w:val="-7"/>
        </w:rPr>
        <w:t>(APM-IB)</w:t>
      </w:r>
      <w:r>
        <w:rPr>
          <w:rFonts w:ascii="Times New Roman" w:hAnsi="Times New Roman" w:eastAsia="Times New Roman" w:cs="Times New Roman"/>
          <w:b/>
          <w:bCs/>
          <w:spacing w:val="-8"/>
        </w:rPr>
        <w:t xml:space="preserve">,  </w:t>
      </w:r>
      <w:r>
        <w:rPr>
          <w:b/>
          <w:bCs/>
          <w:spacing w:val="-8"/>
        </w:rPr>
        <w:t>投标人须对此提供</w:t>
      </w:r>
    </w:p>
    <w:p>
      <w:pPr>
        <w:pStyle w:val="2"/>
        <w:spacing w:before="189" w:line="219" w:lineRule="auto"/>
      </w:pPr>
      <w:r>
        <w:rPr>
          <w:spacing w:val="-9"/>
        </w:rPr>
        <w:t>相关资料证明。</w:t>
      </w:r>
    </w:p>
    <w:p>
      <w:pPr>
        <w:pStyle w:val="2"/>
        <w:spacing w:before="219" w:line="219" w:lineRule="auto"/>
        <w:ind w:left="519"/>
      </w:pPr>
      <w:r>
        <w:t>★1.13、保修内所更换的revolution球管参数要求：</w:t>
      </w:r>
    </w:p>
    <w:p>
      <w:pPr>
        <w:spacing w:line="34" w:lineRule="exact"/>
      </w:pPr>
    </w:p>
    <w:tbl>
      <w:tblPr>
        <w:tblStyle w:val="5"/>
        <w:tblW w:w="959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704" w:type="dxa"/>
            <w:vAlign w:val="top"/>
          </w:tcPr>
          <w:p>
            <w:pPr>
              <w:pStyle w:val="6"/>
              <w:spacing w:before="262" w:line="221" w:lineRule="auto"/>
              <w:ind w:left="128"/>
            </w:pPr>
            <w:r>
              <w:rPr>
                <w:b/>
                <w:bCs/>
                <w:spacing w:val="-5"/>
              </w:rPr>
              <w:t>序号</w:t>
            </w:r>
          </w:p>
        </w:tc>
        <w:tc>
          <w:tcPr>
            <w:tcW w:w="8895" w:type="dxa"/>
            <w:vAlign w:val="top"/>
          </w:tcPr>
          <w:p>
            <w:pPr>
              <w:pStyle w:val="6"/>
              <w:spacing w:before="241" w:line="219" w:lineRule="auto"/>
              <w:ind w:left="2844"/>
            </w:pPr>
            <w:r>
              <w:rPr>
                <w:b/>
                <w:bCs/>
                <w:spacing w:val="-3"/>
              </w:rPr>
              <w:t>CT</w:t>
            </w:r>
            <w:r>
              <w:rPr>
                <w:spacing w:val="-3"/>
              </w:rPr>
              <w:t xml:space="preserve"> </w:t>
            </w:r>
            <w:r>
              <w:rPr>
                <w:b/>
                <w:bCs/>
                <w:spacing w:val="-3"/>
              </w:rPr>
              <w:t>REVOLUTION球管参数要求：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704" w:type="dxa"/>
            <w:vAlign w:val="top"/>
          </w:tcPr>
          <w:p>
            <w:pPr>
              <w:spacing w:line="420" w:lineRule="auto"/>
              <w:rPr>
                <w:rFonts w:ascii="Arial"/>
                <w:sz w:val="21"/>
              </w:rPr>
            </w:pPr>
          </w:p>
          <w:p>
            <w:pPr>
              <w:pStyle w:val="6"/>
              <w:spacing w:before="71" w:line="184" w:lineRule="auto"/>
              <w:ind w:left="284"/>
            </w:pPr>
            <w:r>
              <w:t>1</w:t>
            </w:r>
          </w:p>
        </w:tc>
        <w:tc>
          <w:tcPr>
            <w:tcW w:w="8895" w:type="dxa"/>
            <w:vAlign w:val="top"/>
          </w:tcPr>
          <w:p>
            <w:pPr>
              <w:spacing w:line="359" w:lineRule="auto"/>
              <w:rPr>
                <w:rFonts w:ascii="Arial"/>
                <w:sz w:val="21"/>
              </w:rPr>
            </w:pPr>
          </w:p>
          <w:p>
            <w:pPr>
              <w:pStyle w:val="6"/>
              <w:spacing w:before="71" w:line="216" w:lineRule="auto"/>
              <w:jc w:val="right"/>
            </w:pPr>
            <w:r>
              <w:rPr>
                <w:b/>
                <w:bCs/>
                <w:spacing w:val="-7"/>
              </w:rPr>
              <w:t>提供投标型号球管的原版技术白皮书(DATA</w:t>
            </w:r>
            <w:r>
              <w:rPr>
                <w:spacing w:val="-7"/>
              </w:rPr>
              <w:t xml:space="preserve"> </w:t>
            </w:r>
            <w:r>
              <w:rPr>
                <w:b/>
                <w:bCs/>
                <w:spacing w:val="-7"/>
              </w:rPr>
              <w:t>SHEET),且以下应标参数均以此技术白皮书为</w:t>
            </w:r>
            <w:r>
              <w:rPr>
                <w:b/>
                <w:bCs/>
                <w:spacing w:val="-8"/>
              </w:rPr>
              <w:t>准</w:t>
            </w:r>
            <w:r>
              <w:rPr>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04" w:type="dxa"/>
            <w:vAlign w:val="top"/>
          </w:tcPr>
          <w:p>
            <w:pPr>
              <w:spacing w:line="263" w:lineRule="auto"/>
              <w:rPr>
                <w:rFonts w:ascii="Arial"/>
                <w:sz w:val="21"/>
              </w:rPr>
            </w:pPr>
          </w:p>
          <w:p>
            <w:pPr>
              <w:pStyle w:val="6"/>
              <w:spacing w:before="72" w:line="183" w:lineRule="auto"/>
              <w:ind w:left="284"/>
            </w:pPr>
            <w:r>
              <w:t>2</w:t>
            </w:r>
          </w:p>
        </w:tc>
        <w:tc>
          <w:tcPr>
            <w:tcW w:w="8895" w:type="dxa"/>
            <w:vAlign w:val="top"/>
          </w:tcPr>
          <w:p>
            <w:pPr>
              <w:pStyle w:val="6"/>
              <w:spacing w:before="250" w:line="220" w:lineRule="auto"/>
              <w:ind w:left="131"/>
            </w:pPr>
            <w:r>
              <w:t>阳极热容量：5.5 MHU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704" w:type="dxa"/>
            <w:vAlign w:val="top"/>
          </w:tcPr>
          <w:p>
            <w:pPr>
              <w:spacing w:line="293" w:lineRule="auto"/>
              <w:rPr>
                <w:rFonts w:ascii="Arial"/>
                <w:sz w:val="21"/>
              </w:rPr>
            </w:pPr>
          </w:p>
          <w:p>
            <w:pPr>
              <w:pStyle w:val="6"/>
              <w:spacing w:before="72" w:line="183" w:lineRule="auto"/>
              <w:ind w:left="284"/>
            </w:pPr>
            <w:r>
              <w:t>3</w:t>
            </w:r>
          </w:p>
        </w:tc>
        <w:tc>
          <w:tcPr>
            <w:tcW w:w="8895" w:type="dxa"/>
            <w:vAlign w:val="top"/>
          </w:tcPr>
          <w:p>
            <w:pPr>
              <w:pStyle w:val="6"/>
              <w:spacing w:before="280" w:line="219" w:lineRule="auto"/>
              <w:ind w:left="131"/>
            </w:pPr>
            <w:r>
              <w:rPr>
                <w:spacing w:val="-1"/>
              </w:rPr>
              <w:t>焦点数量：≥三个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04" w:type="dxa"/>
            <w:vAlign w:val="top"/>
          </w:tcPr>
          <w:p>
            <w:pPr>
              <w:spacing w:line="264" w:lineRule="auto"/>
              <w:rPr>
                <w:rFonts w:ascii="Arial"/>
                <w:sz w:val="21"/>
              </w:rPr>
            </w:pPr>
          </w:p>
          <w:p>
            <w:pPr>
              <w:pStyle w:val="6"/>
              <w:spacing w:before="72" w:line="183" w:lineRule="auto"/>
              <w:ind w:left="284"/>
            </w:pPr>
            <w:r>
              <w:t>4</w:t>
            </w:r>
          </w:p>
        </w:tc>
        <w:tc>
          <w:tcPr>
            <w:tcW w:w="8895" w:type="dxa"/>
            <w:vAlign w:val="top"/>
          </w:tcPr>
          <w:p>
            <w:pPr>
              <w:pStyle w:val="6"/>
              <w:spacing w:before="235" w:line="214" w:lineRule="auto"/>
              <w:ind w:left="131"/>
            </w:pPr>
            <w:r>
              <w:rPr>
                <w:spacing w:val="-2"/>
              </w:rPr>
              <w:t>X-大焦点(per IEC 60336/2005</w:t>
            </w:r>
            <w:r>
              <w:rPr>
                <w:spacing w:val="31"/>
              </w:rPr>
              <w:t xml:space="preserve"> </w:t>
            </w:r>
            <w:r>
              <w:rPr>
                <w:spacing w:val="-2"/>
              </w:rPr>
              <w:t>≤2.0mm</w:t>
            </w:r>
            <w:r>
              <w:rPr>
                <w:spacing w:val="7"/>
              </w:rPr>
              <w:t xml:space="preserve"> </w:t>
            </w:r>
            <w:r>
              <w:rPr>
                <w:spacing w:val="-2"/>
              </w:rPr>
              <w:t>x</w:t>
            </w:r>
            <w:r>
              <w:rPr>
                <w:spacing w:val="25"/>
              </w:rPr>
              <w:t xml:space="preserve"> </w:t>
            </w:r>
            <w:r>
              <w:rPr>
                <w:spacing w:val="-2"/>
              </w:rPr>
              <w:t>1.2</w:t>
            </w:r>
            <w:r>
              <w:rPr>
                <w:spacing w:val="3"/>
              </w:rPr>
              <w:t xml:space="preserve"> </w:t>
            </w:r>
            <w:r>
              <w:rPr>
                <w:spacing w:val="-2"/>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04" w:type="dxa"/>
            <w:vAlign w:val="top"/>
          </w:tcPr>
          <w:p>
            <w:pPr>
              <w:spacing w:line="256" w:lineRule="auto"/>
              <w:rPr>
                <w:rFonts w:ascii="Arial"/>
                <w:sz w:val="21"/>
              </w:rPr>
            </w:pPr>
          </w:p>
          <w:p>
            <w:pPr>
              <w:pStyle w:val="6"/>
              <w:spacing w:before="72" w:line="182" w:lineRule="auto"/>
              <w:ind w:left="284"/>
            </w:pPr>
            <w:r>
              <w:t>5</w:t>
            </w:r>
          </w:p>
        </w:tc>
        <w:tc>
          <w:tcPr>
            <w:tcW w:w="8895" w:type="dxa"/>
            <w:vAlign w:val="top"/>
          </w:tcPr>
          <w:p>
            <w:pPr>
              <w:pStyle w:val="6"/>
              <w:spacing w:before="249" w:line="216" w:lineRule="auto"/>
              <w:ind w:left="131"/>
            </w:pPr>
            <w:r>
              <w:t>X-大焦点可输出最大mA≥740mA,大焦点可输出最大mA≥720m</w:t>
            </w:r>
            <w:r>
              <w:rPr>
                <w:spacing w:val="-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04" w:type="dxa"/>
            <w:vAlign w:val="top"/>
          </w:tcPr>
          <w:p>
            <w:pPr>
              <w:spacing w:line="256" w:lineRule="auto"/>
              <w:rPr>
                <w:rFonts w:ascii="Arial"/>
                <w:sz w:val="21"/>
              </w:rPr>
            </w:pPr>
          </w:p>
          <w:p>
            <w:pPr>
              <w:pStyle w:val="6"/>
              <w:spacing w:before="72" w:line="183" w:lineRule="auto"/>
              <w:ind w:left="284"/>
            </w:pPr>
            <w:r>
              <w:t>6</w:t>
            </w:r>
          </w:p>
        </w:tc>
        <w:tc>
          <w:tcPr>
            <w:tcW w:w="8895" w:type="dxa"/>
            <w:vAlign w:val="top"/>
          </w:tcPr>
          <w:p>
            <w:pPr>
              <w:pStyle w:val="6"/>
              <w:spacing w:before="187" w:line="214" w:lineRule="auto"/>
              <w:ind w:left="131"/>
            </w:pPr>
            <w:r>
              <w:rPr>
                <w:spacing w:val="-2"/>
              </w:rPr>
              <w:t>大焦点(per IEC 60336/2005</w:t>
            </w:r>
            <w:r>
              <w:rPr>
                <w:spacing w:val="23"/>
              </w:rPr>
              <w:t xml:space="preserve"> </w:t>
            </w:r>
            <w:r>
              <w:rPr>
                <w:spacing w:val="-2"/>
              </w:rPr>
              <w:t>)≤1.6mm</w:t>
            </w:r>
            <w:r>
              <w:rPr>
                <w:spacing w:val="8"/>
              </w:rPr>
              <w:t xml:space="preserve"> </w:t>
            </w:r>
            <w:r>
              <w:rPr>
                <w:spacing w:val="-2"/>
              </w:rPr>
              <w:t>x</w:t>
            </w:r>
            <w:r>
              <w:rPr>
                <w:spacing w:val="25"/>
              </w:rPr>
              <w:t xml:space="preserve"> </w:t>
            </w:r>
            <w:r>
              <w:rPr>
                <w:spacing w:val="-2"/>
              </w:rPr>
              <w:t>1.2</w:t>
            </w:r>
            <w:r>
              <w:rPr>
                <w:spacing w:val="3"/>
              </w:rPr>
              <w:t xml:space="preserve"> </w:t>
            </w:r>
            <w:r>
              <w:rPr>
                <w:spacing w:val="-2"/>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704" w:type="dxa"/>
            <w:vAlign w:val="top"/>
          </w:tcPr>
          <w:p>
            <w:pPr>
              <w:spacing w:line="249" w:lineRule="auto"/>
              <w:rPr>
                <w:rFonts w:ascii="Arial"/>
                <w:sz w:val="21"/>
              </w:rPr>
            </w:pPr>
          </w:p>
          <w:p>
            <w:pPr>
              <w:pStyle w:val="6"/>
              <w:spacing w:before="71" w:line="182" w:lineRule="auto"/>
              <w:ind w:left="284"/>
            </w:pPr>
            <w:r>
              <w:t>7</w:t>
            </w:r>
          </w:p>
        </w:tc>
        <w:tc>
          <w:tcPr>
            <w:tcW w:w="8895" w:type="dxa"/>
            <w:vAlign w:val="top"/>
          </w:tcPr>
          <w:p>
            <w:pPr>
              <w:pStyle w:val="6"/>
              <w:spacing w:before="237" w:line="223" w:lineRule="auto"/>
              <w:ind w:left="131"/>
            </w:pPr>
            <w:r>
              <w:rPr>
                <w:spacing w:val="-1"/>
                <w:position w:val="-1"/>
              </w:rPr>
              <w:t>小焦点(per IEC</w:t>
            </w:r>
            <w:r>
              <w:rPr>
                <w:spacing w:val="20"/>
                <w:position w:val="-1"/>
              </w:rPr>
              <w:t xml:space="preserve">   </w:t>
            </w:r>
            <w:r>
              <w:rPr>
                <w:spacing w:val="-1"/>
              </w:rPr>
              <w:t>60336/2005 )≤1.0mm</w:t>
            </w:r>
            <w:r>
              <w:rPr>
                <w:spacing w:val="7"/>
              </w:rPr>
              <w:t xml:space="preserve"> </w:t>
            </w:r>
            <w:r>
              <w:rPr>
                <w:spacing w:val="-1"/>
              </w:rPr>
              <w:t>x</w:t>
            </w:r>
            <w:r>
              <w:rPr>
                <w:spacing w:val="11"/>
              </w:rPr>
              <w:t xml:space="preserve"> </w:t>
            </w:r>
            <w:r>
              <w:rPr>
                <w:spacing w:val="-1"/>
              </w:rPr>
              <w:t>0.7mm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04" w:type="dxa"/>
            <w:vAlign w:val="top"/>
          </w:tcPr>
          <w:p>
            <w:pPr>
              <w:spacing w:line="257" w:lineRule="auto"/>
              <w:rPr>
                <w:rFonts w:ascii="Arial"/>
                <w:sz w:val="21"/>
              </w:rPr>
            </w:pPr>
          </w:p>
          <w:p>
            <w:pPr>
              <w:pStyle w:val="6"/>
              <w:spacing w:before="72" w:line="183" w:lineRule="auto"/>
              <w:ind w:left="284"/>
            </w:pPr>
            <w:r>
              <w:t>8</w:t>
            </w:r>
          </w:p>
        </w:tc>
        <w:tc>
          <w:tcPr>
            <w:tcW w:w="8895" w:type="dxa"/>
            <w:vAlign w:val="top"/>
          </w:tcPr>
          <w:p>
            <w:pPr>
              <w:pStyle w:val="6"/>
              <w:spacing w:before="254" w:line="219" w:lineRule="auto"/>
              <w:ind w:left="131"/>
            </w:pPr>
            <w:r>
              <w:rPr>
                <w:spacing w:val="-1"/>
              </w:rPr>
              <w:t>小焦点可输出最大mA≥580mA。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704" w:type="dxa"/>
            <w:vAlign w:val="top"/>
          </w:tcPr>
          <w:p>
            <w:pPr>
              <w:spacing w:line="427" w:lineRule="auto"/>
              <w:rPr>
                <w:rFonts w:ascii="Arial"/>
                <w:sz w:val="21"/>
              </w:rPr>
            </w:pPr>
          </w:p>
          <w:p>
            <w:pPr>
              <w:pStyle w:val="6"/>
              <w:spacing w:before="72" w:line="183" w:lineRule="auto"/>
              <w:ind w:left="284"/>
            </w:pPr>
            <w:r>
              <w:t>9</w:t>
            </w:r>
          </w:p>
        </w:tc>
        <w:tc>
          <w:tcPr>
            <w:tcW w:w="8895" w:type="dxa"/>
            <w:vAlign w:val="top"/>
          </w:tcPr>
          <w:p>
            <w:pPr>
              <w:pStyle w:val="6"/>
              <w:spacing w:before="263" w:line="342" w:lineRule="auto"/>
              <w:ind w:left="131"/>
            </w:pPr>
            <w:r>
              <w:rPr>
                <w:spacing w:val="2"/>
              </w:rPr>
              <w:t>提供以</w:t>
            </w:r>
            <w:r>
              <w:t>DATASHEET</w:t>
            </w:r>
            <w:r>
              <w:rPr>
                <w:spacing w:val="2"/>
              </w:rPr>
              <w:t>(技术白皮书)为准的普通扫描和螺旋扫描在70</w:t>
            </w:r>
            <w:r>
              <w:t>kv</w:t>
            </w:r>
            <w:r>
              <w:rPr>
                <w:spacing w:val="1"/>
              </w:rPr>
              <w:t>、80</w:t>
            </w:r>
            <w:r>
              <w:t>kv</w:t>
            </w:r>
            <w:r>
              <w:rPr>
                <w:spacing w:val="1"/>
              </w:rPr>
              <w:t>、100</w:t>
            </w:r>
            <w:r>
              <w:t>kv</w:t>
            </w:r>
            <w:r>
              <w:rPr>
                <w:spacing w:val="1"/>
              </w:rPr>
              <w:t>、120</w:t>
            </w:r>
            <w:r>
              <w:t>kv</w:t>
            </w:r>
            <w:r>
              <w:rPr>
                <w:spacing w:val="1"/>
              </w:rPr>
              <w:t>、</w:t>
            </w:r>
            <w:r>
              <w:t xml:space="preserve"> </w:t>
            </w:r>
            <w:r>
              <w:rPr>
                <w:spacing w:val="-1"/>
              </w:rPr>
              <w:t>140kv五种条件下，可持续0.3秒扫描的X-大焦点、大焦点、小焦点最大mA输出参数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704" w:type="dxa"/>
            <w:vAlign w:val="top"/>
          </w:tcPr>
          <w:p>
            <w:pPr>
              <w:spacing w:line="427" w:lineRule="auto"/>
              <w:rPr>
                <w:rFonts w:ascii="Arial"/>
                <w:sz w:val="21"/>
              </w:rPr>
            </w:pPr>
          </w:p>
          <w:p>
            <w:pPr>
              <w:pStyle w:val="6"/>
              <w:spacing w:before="72" w:line="184" w:lineRule="auto"/>
              <w:ind w:left="234"/>
            </w:pPr>
            <w:r>
              <w:rPr>
                <w:spacing w:val="-7"/>
              </w:rPr>
              <w:t>10</w:t>
            </w:r>
          </w:p>
        </w:tc>
        <w:tc>
          <w:tcPr>
            <w:tcW w:w="8895" w:type="dxa"/>
            <w:vAlign w:val="top"/>
          </w:tcPr>
          <w:p>
            <w:pPr>
              <w:pStyle w:val="6"/>
              <w:spacing w:before="266" w:line="341" w:lineRule="auto"/>
              <w:ind w:left="131"/>
            </w:pPr>
            <w:r>
              <w:rPr>
                <w:spacing w:val="2"/>
              </w:rPr>
              <w:t>提供以</w:t>
            </w:r>
            <w:r>
              <w:t>DATASHEET</w:t>
            </w:r>
            <w:r>
              <w:rPr>
                <w:spacing w:val="2"/>
              </w:rPr>
              <w:t>(技术白皮书)为准的普通扫描和螺旋扫描在70</w:t>
            </w:r>
            <w:r>
              <w:t>kv</w:t>
            </w:r>
            <w:r>
              <w:rPr>
                <w:spacing w:val="1"/>
              </w:rPr>
              <w:t>、80</w:t>
            </w:r>
            <w:r>
              <w:t>kv</w:t>
            </w:r>
            <w:r>
              <w:rPr>
                <w:spacing w:val="1"/>
              </w:rPr>
              <w:t>、100</w:t>
            </w:r>
            <w:r>
              <w:t>kv</w:t>
            </w:r>
            <w:r>
              <w:rPr>
                <w:spacing w:val="1"/>
              </w:rPr>
              <w:t>、120</w:t>
            </w:r>
            <w:r>
              <w:t>kv</w:t>
            </w:r>
            <w:r>
              <w:rPr>
                <w:spacing w:val="1"/>
              </w:rPr>
              <w:t>、</w:t>
            </w:r>
            <w:r>
              <w:t xml:space="preserve"> </w:t>
            </w:r>
            <w:r>
              <w:rPr>
                <w:spacing w:val="-1"/>
              </w:rPr>
              <w:t>140kv五种条件下，可持续4秒扫描的X-大焦点、大焦点、小焦点最大mA输出参数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704" w:type="dxa"/>
            <w:vAlign w:val="top"/>
          </w:tcPr>
          <w:p>
            <w:pPr>
              <w:spacing w:line="428" w:lineRule="auto"/>
              <w:rPr>
                <w:rFonts w:ascii="Arial"/>
                <w:sz w:val="21"/>
              </w:rPr>
            </w:pPr>
          </w:p>
          <w:p>
            <w:pPr>
              <w:pStyle w:val="6"/>
              <w:spacing w:before="72" w:line="184" w:lineRule="auto"/>
              <w:ind w:left="234"/>
            </w:pPr>
            <w:r>
              <w:rPr>
                <w:spacing w:val="-7"/>
              </w:rPr>
              <w:t>11</w:t>
            </w:r>
          </w:p>
        </w:tc>
        <w:tc>
          <w:tcPr>
            <w:tcW w:w="8895" w:type="dxa"/>
            <w:vAlign w:val="top"/>
          </w:tcPr>
          <w:p>
            <w:pPr>
              <w:pStyle w:val="6"/>
              <w:spacing w:before="257" w:line="349" w:lineRule="auto"/>
              <w:ind w:left="131" w:right="293"/>
            </w:pPr>
            <w:r>
              <w:t>提供以DATASHEET(技术白皮书)为准的快速KV切换可持续0.3秒，4</w:t>
            </w:r>
            <w:r>
              <w:rPr>
                <w:spacing w:val="-1"/>
              </w:rPr>
              <w:t>秒扫描的X-大焦点、大</w:t>
            </w:r>
            <w:r>
              <w:t xml:space="preserve"> </w:t>
            </w:r>
            <w:r>
              <w:rPr>
                <w:spacing w:val="-1"/>
              </w:rPr>
              <w:t>焦点、小焦点最大mA输出参数。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704" w:type="dxa"/>
            <w:vAlign w:val="top"/>
          </w:tcPr>
          <w:p>
            <w:pPr>
              <w:pStyle w:val="6"/>
              <w:spacing w:before="303" w:line="184" w:lineRule="auto"/>
              <w:ind w:left="234"/>
            </w:pPr>
            <w:r>
              <w:rPr>
                <w:spacing w:val="-7"/>
              </w:rPr>
              <w:t>12</w:t>
            </w:r>
          </w:p>
        </w:tc>
        <w:tc>
          <w:tcPr>
            <w:tcW w:w="8895" w:type="dxa"/>
            <w:vAlign w:val="top"/>
          </w:tcPr>
          <w:p>
            <w:pPr>
              <w:pStyle w:val="6"/>
              <w:spacing w:before="248" w:line="219" w:lineRule="auto"/>
              <w:ind w:left="131"/>
            </w:pPr>
            <w:r>
              <w:t>球管最大电压≥140KV。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704" w:type="dxa"/>
            <w:vAlign w:val="top"/>
          </w:tcPr>
          <w:p>
            <w:pPr>
              <w:spacing w:line="271" w:lineRule="auto"/>
              <w:rPr>
                <w:rFonts w:ascii="Arial"/>
                <w:sz w:val="21"/>
              </w:rPr>
            </w:pPr>
          </w:p>
          <w:p>
            <w:pPr>
              <w:pStyle w:val="6"/>
              <w:spacing w:before="71" w:line="184" w:lineRule="auto"/>
              <w:ind w:left="234"/>
            </w:pPr>
            <w:r>
              <w:rPr>
                <w:spacing w:val="-7"/>
              </w:rPr>
              <w:t>13</w:t>
            </w:r>
          </w:p>
        </w:tc>
        <w:tc>
          <w:tcPr>
            <w:tcW w:w="8895" w:type="dxa"/>
            <w:vAlign w:val="top"/>
          </w:tcPr>
          <w:p>
            <w:pPr>
              <w:pStyle w:val="6"/>
              <w:spacing w:before="287" w:line="219" w:lineRule="auto"/>
              <w:ind w:left="131"/>
            </w:pPr>
            <w:r>
              <w:rPr>
                <w:spacing w:val="1"/>
              </w:rPr>
              <w:t>阳极靶面角度：10.5度。</w:t>
            </w:r>
          </w:p>
        </w:tc>
      </w:tr>
    </w:tbl>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1210" w:lineRule="exact"/>
        <w:ind w:firstLine="7059"/>
      </w:pPr>
    </w:p>
    <w:p>
      <w:pPr>
        <w:spacing w:line="1210" w:lineRule="exact"/>
        <w:sectPr>
          <w:pgSz w:w="11840" w:h="16740"/>
          <w:pgMar w:top="1422" w:right="515" w:bottom="0" w:left="1710" w:header="0" w:footer="0" w:gutter="0"/>
        </w:sectPr>
      </w:pPr>
    </w:p>
    <w:p>
      <w:pPr>
        <w:pStyle w:val="2"/>
        <w:spacing w:before="181" w:line="214" w:lineRule="auto"/>
        <w:ind w:left="514"/>
      </w:pPr>
      <w:r>
        <w:t>★1.14、保修内所更换的CT Optima 680球管参数要求：</w:t>
      </w:r>
    </w:p>
    <w:p>
      <w:pPr>
        <w:spacing w:line="56" w:lineRule="exact"/>
      </w:pPr>
    </w:p>
    <w:tbl>
      <w:tblPr>
        <w:tblStyle w:val="5"/>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24" w:type="dxa"/>
            <w:vAlign w:val="top"/>
          </w:tcPr>
          <w:p>
            <w:pPr>
              <w:pStyle w:val="6"/>
              <w:spacing w:before="252" w:line="221" w:lineRule="auto"/>
              <w:ind w:left="138"/>
            </w:pPr>
            <w:r>
              <w:rPr>
                <w:b/>
                <w:bCs/>
                <w:spacing w:val="-5"/>
              </w:rPr>
              <w:t>序号</w:t>
            </w:r>
          </w:p>
        </w:tc>
        <w:tc>
          <w:tcPr>
            <w:tcW w:w="8886" w:type="dxa"/>
            <w:vAlign w:val="top"/>
          </w:tcPr>
          <w:p>
            <w:pPr>
              <w:pStyle w:val="6"/>
              <w:spacing w:before="245" w:line="214" w:lineRule="auto"/>
              <w:ind w:left="3014"/>
            </w:pPr>
            <w:r>
              <w:rPr>
                <w:b/>
                <w:bCs/>
                <w:spacing w:val="-4"/>
              </w:rPr>
              <w:t>CT</w:t>
            </w:r>
            <w:r>
              <w:rPr>
                <w:spacing w:val="-4"/>
              </w:rPr>
              <w:t xml:space="preserve"> </w:t>
            </w:r>
            <w:r>
              <w:rPr>
                <w:b/>
                <w:bCs/>
                <w:spacing w:val="-4"/>
              </w:rPr>
              <w:t>optima</w:t>
            </w:r>
            <w:r>
              <w:rPr>
                <w:spacing w:val="31"/>
              </w:rPr>
              <w:t xml:space="preserve"> </w:t>
            </w:r>
            <w:r>
              <w:rPr>
                <w:b/>
                <w:bCs/>
                <w:spacing w:val="-4"/>
              </w:rPr>
              <w:t>680球管参数要求：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724" w:type="dxa"/>
            <w:vAlign w:val="top"/>
          </w:tcPr>
          <w:p>
            <w:pPr>
              <w:spacing w:line="260" w:lineRule="auto"/>
              <w:rPr>
                <w:rFonts w:ascii="Arial"/>
                <w:sz w:val="21"/>
              </w:rPr>
            </w:pPr>
          </w:p>
          <w:p>
            <w:pPr>
              <w:spacing w:line="260" w:lineRule="auto"/>
              <w:rPr>
                <w:rFonts w:ascii="Arial"/>
                <w:sz w:val="21"/>
              </w:rPr>
            </w:pPr>
          </w:p>
          <w:p>
            <w:pPr>
              <w:pStyle w:val="6"/>
              <w:spacing w:before="72" w:line="184" w:lineRule="auto"/>
              <w:ind w:left="295"/>
            </w:pPr>
            <w:r>
              <w:t>1</w:t>
            </w:r>
          </w:p>
        </w:tc>
        <w:tc>
          <w:tcPr>
            <w:tcW w:w="8886" w:type="dxa"/>
            <w:vAlign w:val="top"/>
          </w:tcPr>
          <w:p>
            <w:pPr>
              <w:spacing w:line="360" w:lineRule="auto"/>
              <w:rPr>
                <w:rFonts w:ascii="Arial"/>
                <w:sz w:val="21"/>
              </w:rPr>
            </w:pPr>
          </w:p>
          <w:p>
            <w:pPr>
              <w:pStyle w:val="6"/>
              <w:spacing w:before="71" w:line="216" w:lineRule="auto"/>
              <w:jc w:val="right"/>
            </w:pPr>
            <w:r>
              <w:rPr>
                <w:b/>
                <w:bCs/>
                <w:spacing w:val="-7"/>
              </w:rPr>
              <w:t>提供投标型号球管的原版技术白皮书(DATA</w:t>
            </w:r>
            <w:r>
              <w:rPr>
                <w:spacing w:val="-7"/>
              </w:rPr>
              <w:t xml:space="preserve"> </w:t>
            </w:r>
            <w:r>
              <w:rPr>
                <w:b/>
                <w:bCs/>
                <w:spacing w:val="-7"/>
              </w:rPr>
              <w:t>SHEET),且以下应标参数均以此技术白皮书为</w:t>
            </w:r>
            <w:r>
              <w:rPr>
                <w:b/>
                <w:bCs/>
                <w:spacing w:val="-8"/>
              </w:rPr>
              <w:t>准</w:t>
            </w:r>
            <w:r>
              <w:rPr>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24" w:type="dxa"/>
            <w:vAlign w:val="top"/>
          </w:tcPr>
          <w:p>
            <w:pPr>
              <w:spacing w:line="264" w:lineRule="auto"/>
              <w:rPr>
                <w:rFonts w:ascii="Arial"/>
                <w:sz w:val="21"/>
              </w:rPr>
            </w:pPr>
          </w:p>
          <w:p>
            <w:pPr>
              <w:pStyle w:val="6"/>
              <w:spacing w:before="72" w:line="183" w:lineRule="auto"/>
              <w:ind w:left="295"/>
            </w:pPr>
            <w:r>
              <w:t>2</w:t>
            </w:r>
          </w:p>
        </w:tc>
        <w:tc>
          <w:tcPr>
            <w:tcW w:w="8886" w:type="dxa"/>
            <w:vAlign w:val="top"/>
          </w:tcPr>
          <w:p>
            <w:pPr>
              <w:pStyle w:val="6"/>
              <w:spacing w:before="249" w:line="218" w:lineRule="auto"/>
              <w:ind w:left="121"/>
            </w:pPr>
            <w:r>
              <w:t>阳极热容量：5.0MJ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724" w:type="dxa"/>
            <w:vAlign w:val="top"/>
          </w:tcPr>
          <w:p>
            <w:pPr>
              <w:spacing w:line="295" w:lineRule="auto"/>
              <w:rPr>
                <w:rFonts w:ascii="Arial"/>
                <w:sz w:val="21"/>
              </w:rPr>
            </w:pPr>
          </w:p>
          <w:p>
            <w:pPr>
              <w:pStyle w:val="6"/>
              <w:spacing w:before="71" w:line="183" w:lineRule="auto"/>
              <w:ind w:left="295"/>
            </w:pPr>
            <w:r>
              <w:t>3</w:t>
            </w:r>
          </w:p>
        </w:tc>
        <w:tc>
          <w:tcPr>
            <w:tcW w:w="8886" w:type="dxa"/>
            <w:vAlign w:val="top"/>
          </w:tcPr>
          <w:p>
            <w:pPr>
              <w:pStyle w:val="6"/>
              <w:spacing w:before="290" w:line="218" w:lineRule="auto"/>
              <w:ind w:left="121"/>
            </w:pPr>
            <w:r>
              <w:rPr>
                <w:spacing w:val="-1"/>
              </w:rPr>
              <w:t>管套热容量要求不小于7.7MJ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724" w:type="dxa"/>
            <w:vAlign w:val="top"/>
          </w:tcPr>
          <w:p>
            <w:pPr>
              <w:pStyle w:val="6"/>
              <w:spacing w:before="309" w:line="183" w:lineRule="auto"/>
              <w:ind w:left="295"/>
            </w:pPr>
            <w:r>
              <w:t>4</w:t>
            </w:r>
          </w:p>
        </w:tc>
        <w:tc>
          <w:tcPr>
            <w:tcW w:w="8886" w:type="dxa"/>
            <w:vAlign w:val="top"/>
          </w:tcPr>
          <w:p>
            <w:pPr>
              <w:pStyle w:val="6"/>
              <w:spacing w:before="233" w:line="219" w:lineRule="auto"/>
              <w:ind w:left="121"/>
            </w:pPr>
            <w:r>
              <w:rPr>
                <w:spacing w:val="-2"/>
              </w:rPr>
              <w:t>焦点个数≥2个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724" w:type="dxa"/>
            <w:vAlign w:val="top"/>
          </w:tcPr>
          <w:p>
            <w:pPr>
              <w:spacing w:line="267" w:lineRule="auto"/>
              <w:rPr>
                <w:rFonts w:ascii="Arial"/>
                <w:sz w:val="21"/>
              </w:rPr>
            </w:pPr>
          </w:p>
          <w:p>
            <w:pPr>
              <w:pStyle w:val="6"/>
              <w:spacing w:before="72" w:line="182" w:lineRule="auto"/>
              <w:ind w:left="295"/>
            </w:pPr>
            <w:r>
              <w:t>5</w:t>
            </w:r>
          </w:p>
        </w:tc>
        <w:tc>
          <w:tcPr>
            <w:tcW w:w="8886" w:type="dxa"/>
            <w:vAlign w:val="top"/>
          </w:tcPr>
          <w:p>
            <w:pPr>
              <w:pStyle w:val="6"/>
              <w:spacing w:before="191" w:line="219" w:lineRule="auto"/>
              <w:ind w:left="121"/>
            </w:pPr>
            <w:r>
              <w:t>焦点尺寸(IEC 336/2005):小焦点≤0.9mm*0.7mm;大焦点≥1.2mm*1.1</w:t>
            </w:r>
            <w:r>
              <w:rPr>
                <w:spacing w:val="-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724" w:type="dxa"/>
            <w:vAlign w:val="top"/>
          </w:tcPr>
          <w:p>
            <w:pPr>
              <w:spacing w:line="257" w:lineRule="auto"/>
              <w:rPr>
                <w:rFonts w:ascii="Arial"/>
                <w:sz w:val="21"/>
              </w:rPr>
            </w:pPr>
          </w:p>
          <w:p>
            <w:pPr>
              <w:pStyle w:val="6"/>
              <w:spacing w:before="72" w:line="183" w:lineRule="auto"/>
              <w:ind w:left="295"/>
            </w:pPr>
            <w:r>
              <w:t>6</w:t>
            </w:r>
          </w:p>
        </w:tc>
        <w:tc>
          <w:tcPr>
            <w:tcW w:w="8886" w:type="dxa"/>
            <w:vAlign w:val="top"/>
          </w:tcPr>
          <w:p>
            <w:pPr>
              <w:pStyle w:val="6"/>
              <w:spacing w:before="264" w:line="219" w:lineRule="auto"/>
              <w:ind w:left="121"/>
            </w:pPr>
            <w:r>
              <w:rPr>
                <w:spacing w:val="-1"/>
              </w:rPr>
              <w:t>焦点功率要求最大≥72KW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724" w:type="dxa"/>
            <w:vAlign w:val="top"/>
          </w:tcPr>
          <w:p>
            <w:pPr>
              <w:spacing w:line="249" w:lineRule="auto"/>
              <w:rPr>
                <w:rFonts w:ascii="Arial"/>
                <w:sz w:val="21"/>
              </w:rPr>
            </w:pPr>
          </w:p>
          <w:p>
            <w:pPr>
              <w:pStyle w:val="6"/>
              <w:spacing w:before="71" w:line="182" w:lineRule="auto"/>
              <w:ind w:left="295"/>
            </w:pPr>
            <w:r>
              <w:t>7</w:t>
            </w:r>
          </w:p>
        </w:tc>
        <w:tc>
          <w:tcPr>
            <w:tcW w:w="8886" w:type="dxa"/>
            <w:vAlign w:val="top"/>
          </w:tcPr>
          <w:p>
            <w:pPr>
              <w:pStyle w:val="6"/>
              <w:spacing w:before="234" w:line="219" w:lineRule="auto"/>
              <w:ind w:left="121"/>
            </w:pPr>
            <w:r>
              <w:t>120KV时最大毫安输出不低于600mA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24" w:type="dxa"/>
            <w:vAlign w:val="top"/>
          </w:tcPr>
          <w:p>
            <w:pPr>
              <w:spacing w:line="257" w:lineRule="auto"/>
              <w:rPr>
                <w:rFonts w:ascii="Arial"/>
                <w:sz w:val="21"/>
              </w:rPr>
            </w:pPr>
          </w:p>
          <w:p>
            <w:pPr>
              <w:pStyle w:val="6"/>
              <w:spacing w:before="72" w:line="183" w:lineRule="auto"/>
              <w:ind w:left="295"/>
            </w:pPr>
            <w:r>
              <w:t>8</w:t>
            </w:r>
          </w:p>
        </w:tc>
        <w:tc>
          <w:tcPr>
            <w:tcW w:w="8886" w:type="dxa"/>
            <w:vAlign w:val="top"/>
          </w:tcPr>
          <w:p>
            <w:pPr>
              <w:pStyle w:val="6"/>
              <w:spacing w:before="192" w:line="219" w:lineRule="auto"/>
              <w:ind w:left="121"/>
            </w:pPr>
            <w:r>
              <w:rPr>
                <w:spacing w:val="-1"/>
              </w:rPr>
              <w:t>管套出线窗口FOV(Field of View)尺寸：40mm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724" w:type="dxa"/>
            <w:vAlign w:val="top"/>
          </w:tcPr>
          <w:p>
            <w:pPr>
              <w:spacing w:line="427" w:lineRule="auto"/>
              <w:rPr>
                <w:rFonts w:ascii="Arial"/>
                <w:sz w:val="21"/>
              </w:rPr>
            </w:pPr>
          </w:p>
          <w:p>
            <w:pPr>
              <w:pStyle w:val="6"/>
              <w:spacing w:before="72" w:line="183" w:lineRule="auto"/>
              <w:ind w:left="295"/>
            </w:pPr>
            <w:r>
              <w:t>9</w:t>
            </w:r>
          </w:p>
        </w:tc>
        <w:tc>
          <w:tcPr>
            <w:tcW w:w="8886" w:type="dxa"/>
            <w:vAlign w:val="top"/>
          </w:tcPr>
          <w:p>
            <w:pPr>
              <w:spacing w:line="441" w:lineRule="auto"/>
              <w:rPr>
                <w:rFonts w:ascii="Arial"/>
                <w:sz w:val="21"/>
              </w:rPr>
            </w:pPr>
          </w:p>
          <w:p>
            <w:pPr>
              <w:pStyle w:val="6"/>
              <w:spacing w:before="71" w:line="219" w:lineRule="auto"/>
              <w:ind w:left="121"/>
            </w:pPr>
            <w:r>
              <w:rPr>
                <w:spacing w:val="-1"/>
              </w:rPr>
              <w:t>支持0.35秒每圈的高速旋转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724" w:type="dxa"/>
            <w:vAlign w:val="top"/>
          </w:tcPr>
          <w:p>
            <w:pPr>
              <w:spacing w:line="427" w:lineRule="auto"/>
              <w:rPr>
                <w:rFonts w:ascii="Arial"/>
                <w:sz w:val="21"/>
              </w:rPr>
            </w:pPr>
          </w:p>
          <w:p>
            <w:pPr>
              <w:pStyle w:val="6"/>
              <w:spacing w:before="71" w:line="184" w:lineRule="auto"/>
              <w:ind w:left="245"/>
            </w:pPr>
            <w:r>
              <w:rPr>
                <w:spacing w:val="-7"/>
              </w:rPr>
              <w:t>10</w:t>
            </w:r>
          </w:p>
        </w:tc>
        <w:tc>
          <w:tcPr>
            <w:tcW w:w="8886" w:type="dxa"/>
            <w:vAlign w:val="top"/>
          </w:tcPr>
          <w:p>
            <w:pPr>
              <w:spacing w:line="370" w:lineRule="auto"/>
              <w:rPr>
                <w:rFonts w:ascii="Arial"/>
                <w:sz w:val="21"/>
              </w:rPr>
            </w:pPr>
          </w:p>
          <w:p>
            <w:pPr>
              <w:pStyle w:val="6"/>
              <w:spacing w:before="72" w:line="219" w:lineRule="auto"/>
              <w:ind w:left="121"/>
            </w:pPr>
            <w:r>
              <w:t>球管拥有ASiR芯片，并提供接口，以支持小宝</w:t>
            </w:r>
            <w:r>
              <w:rPr>
                <w:spacing w:val="-1"/>
              </w:rPr>
              <w:t>石CT的ASiR技术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24" w:type="dxa"/>
            <w:vAlign w:val="top"/>
          </w:tcPr>
          <w:p>
            <w:pPr>
              <w:spacing w:line="418" w:lineRule="auto"/>
              <w:rPr>
                <w:rFonts w:ascii="Arial"/>
                <w:sz w:val="21"/>
              </w:rPr>
            </w:pPr>
          </w:p>
          <w:p>
            <w:pPr>
              <w:pStyle w:val="6"/>
              <w:spacing w:before="72" w:line="184" w:lineRule="auto"/>
              <w:ind w:left="245"/>
            </w:pPr>
            <w:r>
              <w:rPr>
                <w:spacing w:val="-7"/>
              </w:rPr>
              <w:t>11</w:t>
            </w:r>
          </w:p>
        </w:tc>
        <w:tc>
          <w:tcPr>
            <w:tcW w:w="8886" w:type="dxa"/>
            <w:vAlign w:val="top"/>
          </w:tcPr>
          <w:p>
            <w:pPr>
              <w:spacing w:line="363" w:lineRule="auto"/>
              <w:rPr>
                <w:rFonts w:ascii="Arial"/>
                <w:sz w:val="21"/>
              </w:rPr>
            </w:pPr>
          </w:p>
          <w:p>
            <w:pPr>
              <w:pStyle w:val="6"/>
              <w:spacing w:before="71" w:line="219" w:lineRule="auto"/>
              <w:ind w:left="121"/>
            </w:pPr>
            <w:r>
              <w:rPr>
                <w:spacing w:val="-1"/>
              </w:rPr>
              <w:t>球管最大额定电压≥140KV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724" w:type="dxa"/>
            <w:vAlign w:val="top"/>
          </w:tcPr>
          <w:p>
            <w:pPr>
              <w:spacing w:line="250" w:lineRule="auto"/>
              <w:rPr>
                <w:rFonts w:ascii="Arial"/>
                <w:sz w:val="21"/>
              </w:rPr>
            </w:pPr>
          </w:p>
          <w:p>
            <w:pPr>
              <w:pStyle w:val="6"/>
              <w:spacing w:before="72" w:line="184" w:lineRule="auto"/>
              <w:ind w:left="245"/>
            </w:pPr>
            <w:r>
              <w:rPr>
                <w:spacing w:val="-7"/>
              </w:rPr>
              <w:t>12</w:t>
            </w:r>
          </w:p>
        </w:tc>
        <w:tc>
          <w:tcPr>
            <w:tcW w:w="8886" w:type="dxa"/>
            <w:vAlign w:val="top"/>
          </w:tcPr>
          <w:p>
            <w:pPr>
              <w:pStyle w:val="6"/>
              <w:spacing w:before="236" w:line="219" w:lineRule="auto"/>
              <w:ind w:left="121"/>
            </w:pPr>
            <w:r>
              <w:rPr>
                <w:spacing w:val="1"/>
              </w:rPr>
              <w:t>阳极靶面角度：7度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724" w:type="dxa"/>
            <w:vAlign w:val="top"/>
          </w:tcPr>
          <w:p>
            <w:pPr>
              <w:rPr>
                <w:rFonts w:ascii="Arial"/>
                <w:sz w:val="21"/>
              </w:rPr>
            </w:pPr>
          </w:p>
        </w:tc>
        <w:tc>
          <w:tcPr>
            <w:tcW w:w="8886" w:type="dxa"/>
            <w:vAlign w:val="top"/>
          </w:tcPr>
          <w:p>
            <w:pPr>
              <w:rPr>
                <w:rFonts w:ascii="Arial"/>
                <w:sz w:val="21"/>
              </w:rPr>
            </w:pPr>
          </w:p>
        </w:tc>
      </w:tr>
    </w:tbl>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1700" w:lineRule="exact"/>
      </w:pPr>
      <w:bookmarkStart w:id="0" w:name="_GoBack"/>
      <w:bookmarkEnd w:id="0"/>
    </w:p>
    <w:sectPr>
      <w:pgSz w:w="11860" w:h="16700"/>
      <w:pgMar w:top="1419" w:right="530" w:bottom="0" w:left="160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25A1C8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2024-10-10T16:07:00Z</dcterms:created>
  <dc:creator>Kingsoft-PDF</dc:creator>
  <cp:lastModifiedBy>王禹鑫</cp:lastModifiedBy>
  <dcterms:modified xsi:type="dcterms:W3CDTF">2024-10-16T06:52:57Z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2024-10-10T16:07:34Z</vt:filetime>
  </property>
  <property fmtid="{D5CDD505-2E9C-101B-9397-08002B2CF9AE}" pid="4" name="UsrData">
    <vt:lpwstr>67078b3fd76378001fe1c42bwl</vt:lpwstr>
  </property>
  <property fmtid="{D5CDD505-2E9C-101B-9397-08002B2CF9AE}" pid="5" name="KSOProductBuildVer">
    <vt:lpwstr>2052-10.8.0.5838</vt:lpwstr>
  </property>
</Properties>
</file>