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8"/>
          <w:sz w:val="32"/>
          <w:szCs w:val="32"/>
          <w:lang w:val="en-US" w:eastAsia="zh-CN"/>
        </w:rPr>
        <w:t>5：</w:t>
      </w:r>
    </w:p>
    <w:p>
      <w:pPr>
        <w:spacing w:line="720" w:lineRule="auto"/>
        <w:jc w:val="center"/>
        <w:rPr>
          <w:rFonts w:ascii="宋体" w:hAnsi="宋体" w:eastAsia="方正小标宋简体"/>
          <w:spacing w:val="-8"/>
          <w:sz w:val="44"/>
          <w:szCs w:val="44"/>
        </w:rPr>
      </w:pPr>
      <w:r>
        <w:rPr>
          <w:rFonts w:ascii="宋体" w:hAnsi="宋体" w:eastAsia="方正小标宋简体"/>
          <w:spacing w:val="-8"/>
          <w:sz w:val="44"/>
          <w:szCs w:val="44"/>
        </w:rPr>
        <w:t>申报专业与医师资格类别执业范围对应表</w:t>
      </w:r>
    </w:p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743"/>
        <w:gridCol w:w="20"/>
        <w:gridCol w:w="3433"/>
        <w:gridCol w:w="20"/>
        <w:gridCol w:w="1411"/>
        <w:gridCol w:w="20"/>
        <w:gridCol w:w="307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tblHeader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代码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专业名称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医师资格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类别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执业范围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心血管内科学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  <w:r>
              <w:rPr>
                <w:rFonts w:hint="eastAsia" w:ascii="宋体" w:hAnsi="宋体"/>
                <w:szCs w:val="32"/>
              </w:rPr>
              <w:t>、心电诊断专业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呼吸内科学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消化内科学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肾内科学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内分泌学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血液病学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结核病学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传染病学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风湿与临床免疫学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普通外科学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骨外科学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胸心外科学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泌尿外科学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小儿外科学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烧伤外科学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整形外科学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中医肛肠科学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中医骨伤学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中西医结合骨伤科学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中医儿科学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中医眼科学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耳鼻咽喉科学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中医耳鼻喉科学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皮肤与性病学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皮肤病与性病专业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中医皮肤与性病学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精神病学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精神卫生专业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肿瘤放射治疗学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放射医学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核医学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超声波医学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推拿（按摩）学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病理学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临床医学检验学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口腔内科学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口腔颌面外科学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口腔修复学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口腔正畸学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疼痛学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内科、外科、麻醉专业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计划生育技术服务专业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疾病控制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公共卫生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职业卫生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妇幼保健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/>
                <w:spacing w:val="-20"/>
                <w:szCs w:val="32"/>
              </w:rPr>
              <w:t>公卫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健康教育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392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急诊医学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急救医学专业</w:t>
            </w:r>
          </w:p>
        </w:tc>
      </w:tr>
    </w:tbl>
    <w:p>
      <w:pPr>
        <w:adjustRightInd w:val="0"/>
        <w:rPr>
          <w:rFonts w:ascii="宋体" w:hAnsi="宋体" w:eastAsia="仿宋_GB2312"/>
          <w:color w:val="000000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E0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2021-12-21T03:11:45Z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